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harts/style2.xml" ContentType="application/vnd.ms-office.chartstyle+xml"/>
  <Override PartName="/word/charts/chart3.xml" ContentType="application/vnd.openxmlformats-officedocument.drawingml.chart+xml"/>
  <Override PartName="/word/charts/colors2.xml" ContentType="application/vnd.ms-office.chartcolorstyle+xml"/>
  <Override PartName="/docProps/core.xml" ContentType="application/vnd.openxmlformats-package.core-properties+xml"/>
  <Override PartName="/word/charts/style1.xml" ContentType="application/vnd.ms-office.chartstyl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olors1.xml" ContentType="application/vnd.ms-office.chartcolorsty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5"/>
        <w:pBdr/>
        <w:spacing w:after="0" w:before="0" w:line="240" w:lineRule="auto"/>
        <w:ind w:firstLine="720" w:left="0"/>
        <w:contextualSpacing w:val="true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Отчет 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825"/>
        <w:pBdr/>
        <w:spacing w:after="0" w:before="0" w:line="240" w:lineRule="auto"/>
        <w:ind w:firstLine="720" w:left="0"/>
        <w:contextualSpacing w:val="true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отдела малого предпринимательства и потребительского рынка за 2025 год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825"/>
        <w:pBdr/>
        <w:spacing w:after="0" w:before="0" w:line="240" w:lineRule="auto"/>
        <w:ind/>
        <w:jc w:val="center"/>
        <w:rPr>
          <w:rFonts w:ascii="Arial" w:hAnsi="Arial" w:eastAsia="Arial" w:cs="Arial"/>
          <w:b w:val="0"/>
          <w:bCs w:val="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b/>
          <w:sz w:val="24"/>
          <w:highlight w:val="none"/>
          <w:shd w:val="clear" w:color="auto" w:fill="ffff00"/>
        </w:rPr>
      </w:r>
      <w:r>
        <w:rPr>
          <w:rFonts w:ascii="TimesNewRoman" w:hAnsi="TimesNewRoman" w:eastAsia="TimesNewRoman" w:cs="TimesNewRoman"/>
          <w:b/>
          <w:sz w:val="24"/>
          <w:highlight w:val="none"/>
          <w:shd w:val="clear" w:color="auto" w:fill="ffff00"/>
        </w:rPr>
      </w:r>
    </w:p>
    <w:p>
      <w:pPr>
        <w:pStyle w:val="825"/>
        <w:pBdr/>
        <w:spacing w:after="0" w:before="0" w:line="240" w:lineRule="auto"/>
        <w:ind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shd w:val="clear" w:color="auto" w:fill="ffff00"/>
        </w:rPr>
      </w:pPr>
      <w:r>
        <w:rPr>
          <w:rFonts w:ascii="TimesNewRoman" w:hAnsi="TimesNewRoman" w:eastAsia="TimesNewRoman" w:cs="TimesNewRoman"/>
          <w:b/>
          <w:sz w:val="24"/>
          <w:highlight w:val="white"/>
          <w:shd w:val="clear" w:color="auto" w:fill="ffff00"/>
        </w:rPr>
        <w:t xml:space="preserve">I. Содействие развитию малого и среднего предпринимательства</w:t>
      </w:r>
      <w:r>
        <w:rPr>
          <w:rFonts w:ascii="Arial" w:hAnsi="Arial" w:eastAsia="Arial" w:cs="Arial"/>
          <w:b w:val="0"/>
          <w:sz w:val="24"/>
          <w:highlight w:val="white"/>
          <w:shd w:val="clear" w:color="auto" w:fill="ffff00"/>
        </w:rPr>
      </w:r>
    </w:p>
    <w:p>
      <w:pPr>
        <w:pStyle w:val="825"/>
        <w:pBdr/>
        <w:spacing w:after="0" w:before="0" w:line="240" w:lineRule="auto"/>
        <w:ind w:firstLine="720" w:left="0"/>
        <w:contextualSpacing w:val="true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1.1.Богородский </w:t>
      </w:r>
      <w:r>
        <w:rPr>
          <w:rFonts w:ascii="TimesNewRoman" w:hAnsi="TimesNewRoman" w:eastAsia="TimesNewRoman" w:cs="TimesNewRoman"/>
          <w:b w:val="0"/>
          <w:sz w:val="24"/>
        </w:rPr>
        <w:t xml:space="preserve">муниципальный округ демонстрирует уверенную положительную динамику в рейтинге развития предпринимательского климата Нижегородской области. За три года округ совершил значительный рывок, поднявшись с 31-й позиции за 2022 год, за 2023 на 8-ю— в 2024 на 6-ю.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 w:left="0"/>
        <w:contextualSpacing w:val="true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Наш путь с 31-го на 6-е место — это не случайность, а закономерный итог и</w:t>
      </w:r>
      <w:r>
        <w:rPr>
          <w:rFonts w:ascii="TimesNewRoman" w:hAnsi="TimesNewRoman" w:eastAsia="TimesNewRoman" w:cs="TimesNewRoman"/>
          <w:b/>
          <w:sz w:val="24"/>
        </w:rPr>
        <w:t xml:space="preserve"> </w:t>
      </w:r>
      <w:r>
        <w:rPr>
          <w:rFonts w:ascii="TimesNewRoman" w:hAnsi="TimesNewRoman" w:eastAsia="TimesNewRoman" w:cs="TimesNewRoman"/>
          <w:b w:val="0"/>
          <w:sz w:val="24"/>
        </w:rPr>
        <w:t xml:space="preserve">результат комплексной работы администрации и центра «Мой бизнес». Мы последовательно устраняли барьеры, работали с инвесторами и поддерживали местных предпринимателей.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Высокие темпы роста и накопленный эффективный опыт были отмечены на регио</w:t>
      </w:r>
      <w:r>
        <w:rPr>
          <w:rFonts w:ascii="TimesNewRoman" w:hAnsi="TimesNewRoman" w:eastAsia="TimesNewRoman" w:cs="TimesNewRoman"/>
          <w:b w:val="0"/>
          <w:sz w:val="24"/>
        </w:rPr>
        <w:t xml:space="preserve">нальном уровне. В знак признания достижений Богородскому муниципальному округу был присвоен статус наставника для Починковского муниципального округа в рамках программы обмена лучшими практиками по повышению предпринимательского и инвестиционного рейтинга.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i/>
          <w:iCs/>
          <w:sz w:val="24"/>
        </w:rPr>
        <w:t xml:space="preserve">1.2. 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Динамика субъектов МСП 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b w:val="0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bCs w:val="0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</w:rPr>
        <w:t xml:space="preserve">На конец 2025 года в округе зарегистрировано 2 620 субъектов МСП, в том числе:</w:t>
      </w:r>
      <w:r>
        <w:rPr>
          <w:rFonts w:ascii="TimesNewRoman" w:hAnsi="TimesNewRoman" w:eastAsia="TimesNewRoman" w:cs="TimesNewRoman"/>
          <w:b w:val="0"/>
          <w:sz w:val="24"/>
        </w:rPr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индивидуальные предприниматели — 1 956 ед.;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малые предприятия — 658 ед.;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средние предприятия — 6 ед.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 xml:space="preserve">По сравнению с 2024 годом количество субъектов МСП выросло на 273 единицы.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 New Roman" w:hAnsi="Times New Roman" w:cs="Times New Roman"/>
          <w:lang w:val="ru-RU" w:eastAsia="ru-RU" w:bidi="ar-SA"/>
        </w:rPr>
        <w:drawing>
          <wp:inline distT="0" distB="0" distL="0" distR="0">
            <wp:extent cx="4571996" cy="260032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/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 xml:space="preserve">Причины снижения числа средних предприятий: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переход ЗАО «Богородская кондитерская фабрика» в категорию малых;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переход ООО «Окский машиностроительный завод» в категорию крупных.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1.3.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Распределение по видам деятельности: </w:t>
      </w:r>
      <w:r>
        <w:rPr>
          <w:rFonts w:ascii="TimesNewRoman" w:hAnsi="TimesNewRoman" w:eastAsia="TimesNewRoman" w:cs="TimesNewRoman"/>
          <w:i/>
          <w:iCs/>
          <w:sz w:val="24"/>
          <w:szCs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 xml:space="preserve">Наибольшая доля (33 %) приходится на оптовую и розничную торговлю, включая ремонт автотранспортных средств и мотоциклов (обусловлено короткими сроками оборота капитала и сниженными рисками).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highlight w:val="none"/>
        </w:rPr>
        <w:drawing>
          <wp:inline distT="0" distB="0" distL="0" distR="0">
            <wp:extent cx="5472000" cy="32040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1.4.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Самозанятые: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highlight w:val="none"/>
        </w:rPr>
      </w:pPr>
      <w:r>
        <w:rPr>
          <w:rFonts w:ascii="TimesNewRoman" w:hAnsi="TimesNewRoman" w:eastAsia="TimesNewRoman" w:cs="TimesNewRoman"/>
          <w:sz w:val="24"/>
        </w:rPr>
        <w:t xml:space="preserve"> На конец 2025 года зарегистрировано 6 666 налогоплательщиков налога на профессиональный доход. За три года рост составил +2 923 человека.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  <w:drawing>
          <wp:inline distT="0" distB="0" distL="0" distR="0">
            <wp:extent cx="5612152" cy="320400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1.5.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 Реализация муниципальной программы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i/>
          <w:iCs/>
          <w:sz w:val="24"/>
          <w:szCs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 xml:space="preserve"> Действует программа «Содействие развитию субъектов малого и среднего предпринимательства в Богородском муниципальном округе Нижегородской области» (Постановление от 29.12.2020 № 2309).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 xml:space="preserve">В 2025 году проведено 4 мониторинга с опросом 566 респондентов: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оценка конкурентной среды и административных барьеров — 269 респондентов;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удовлетворённость качеством товаров и услуг — 133 респондента;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удовлетворённость финансовыми услугами — 115 респондентов;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оценка развития предпринимательства и привлечения инвестиций — 49 предпринимателей.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1.6.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 Поддержка предпринимательства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 Информационная поддержка осуществляется через: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сайт муниципального образования;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сайт АНО «Богородский ЦРП».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bCs/>
          <w:i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1.7.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Финансовая поддержка в 2025 году (</w:t>
      </w:r>
      <w:r>
        <w:rPr>
          <w:rFonts w:ascii="Times New Roman" w:hAnsi="Times New Roman" w:eastAsia="Times New Roman" w:cs="Times New Roman"/>
          <w:color w:val="0d0d0d"/>
          <w:sz w:val="24"/>
          <w:szCs w:val="24"/>
          <w:highlight w:val="white"/>
        </w:rPr>
        <w:t xml:space="preserve">получили поддержку из регионального и федерального бюджетов</w:t>
      </w:r>
      <w:r>
        <w:rPr>
          <w:lang w:val="ru-RU"/>
        </w:rPr>
        <w:t xml:space="preserve"> -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30 субъектов МСП):</w:t>
      </w:r>
      <w:r>
        <w:rPr>
          <w:i/>
          <w:iCs/>
        </w:rPr>
      </w:r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субсидии и гранты — 4 субъекта на 30,75 млн руб.;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гарантии и поручительства — 9 субъектов на 65,87 млн руб.;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финансирование на возвратной основе — 17 субъектов.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1.8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Мероприятия для предпринимателей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 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В 2025 году проведены: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совещания с Управлением Роспотребнадзора (13.03, 30.10, 03.12);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ВКС о расширении рынков сбыта (18.12);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конференция по маркировке «Честный ЗНАК» (27.02);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тренинг-интенсив федеральной программы «СВОй бизнес» (21–25.07);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круглый стол «Развитие международных отношений» (29.08);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семинар по экспортной деятельности (25.11);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бизнес-интенсив «Стратегия совместного роста» (27.11) и др. (всего более 20 мероприятий).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1.9.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 Диалог власти и бизнеса</w:t>
      </w:r>
      <w:r>
        <w:rPr>
          <w:rFonts w:ascii="TimesNewRoman" w:hAnsi="TimesNewRoman" w:eastAsia="TimesNewRoman" w:cs="TimesNewRoman"/>
          <w:sz w:val="24"/>
        </w:rPr>
        <w:t xml:space="preserve"> 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highlight w:val="none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</w:rPr>
        <w:t xml:space="preserve">Проведено 4 встречи главы администрации с предпринимателями (21.02, 29.04, 08.09, 14.10) в рамках поручения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Г</w:t>
      </w:r>
      <w:r>
        <w:rPr>
          <w:rFonts w:ascii="TimesNewRoman" w:hAnsi="TimesNewRoman" w:eastAsia="TimesNewRoman" w:cs="TimesNewRoman"/>
          <w:sz w:val="24"/>
        </w:rPr>
        <w:t xml:space="preserve">убернатора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Нижегородской области</w:t>
      </w:r>
      <w:r>
        <w:rPr>
          <w:rFonts w:ascii="TimesNewRoman" w:hAnsi="TimesNewRoman" w:eastAsia="TimesNewRoman" w:cs="TimesNewRoman"/>
          <w:sz w:val="24"/>
        </w:rPr>
        <w:t xml:space="preserve">.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1.10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Популяризация предпринимательства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</w:r>
      <w:r>
        <w:rPr>
          <w:rFonts w:ascii="TimesNewRoman" w:hAnsi="TimesNewRoman" w:eastAsia="TimesNewRoman" w:cs="TimesNewRoman"/>
          <w:sz w:val="24"/>
        </w:rPr>
        <w:t xml:space="preserve"> Привлечено 20 субъектов к участию в конкурсах: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«Сильные идеи нового времени» — 7 заявителей;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«Знай наших» — 5 заявителей;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«Молодой предприниматель России» — 1 участник;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«Экспортер года» — 1 участник;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«Мой добрый бизнес» — 2 участника;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«Предприниматель года» — 4 призёра (в номинациях: агропром, торговля, лучший стартап).</w:t>
      </w:r>
      <w:r>
        <w:rPr>
          <w:rFonts w:ascii="TimesNewRoman" w:hAnsi="TimesNewRoman" w:eastAsia="TimesNewRoman" w:cs="TimesNewRoman"/>
          <w:i/>
          <w:iCs/>
          <w:sz w:val="24"/>
        </w:rPr>
      </w:r>
      <w:r>
        <w:rPr>
          <w:rFonts w:ascii="TimesNewRoman" w:hAnsi="TimesNewRoman" w:eastAsia="TimesNewRoman" w:cs="TimesNewRoman"/>
          <w:bCs/>
          <w:i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highlight w:val="none"/>
        </w:rPr>
      </w:r>
      <w:r>
        <w:rPr>
          <w:rFonts w:ascii="TimesNewRoman" w:hAnsi="TimesNewRoman" w:eastAsia="TimesNewRoman" w:cs="TimesNewRoman"/>
          <w:i/>
          <w:iCs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1.11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Инфраструктура поддержки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</w:rPr>
        <w:t xml:space="preserve"> Функционирует АНО «Богородский центр развития предпринимательства» (включая окно центра «Мой бизнес»).</w:t>
      </w:r>
      <w:r/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 xml:space="preserve">В 2025 году: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предоставлена субсидия АНО в размере 1 005 200 руб.;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оказано 1 455 бесплатных и 1 965 платных консультационных услуг;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стоимость услуг на 5–10 % ниже рыночных.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highlight w:val="none"/>
        </w:rPr>
      </w:r>
      <w:r>
        <w:rPr>
          <w:rFonts w:ascii="TimesNewRoman" w:hAnsi="TimesNewRoman" w:eastAsia="TimesNewRoman" w:cs="TimesNewRoman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  <w:szCs w:val="24"/>
        </w:rPr>
      </w:pP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1.12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Ключевые достижения 2025 года:</w:t>
      </w:r>
      <w:r>
        <w:rPr>
          <w:i/>
          <w:iCs/>
        </w:rPr>
      </w:r>
      <w:r>
        <w:rPr>
          <w:rFonts w:ascii="TimesNewRoman" w:hAnsi="TimesNewRoman" w:eastAsia="TimesNewRoman" w:cs="TimesNewRoman"/>
          <w:bCs/>
          <w:i/>
          <w:iCs/>
          <w:sz w:val="24"/>
          <w:szCs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рост числа субъектов МСП и самозанятых;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эффективная реализация муниципальной программы поддержки;</w:t>
      </w:r>
      <w:r/>
    </w:p>
    <w:p>
      <w:pPr>
        <w:pStyle w:val="825"/>
        <w:pBdr/>
        <w:spacing w:after="0" w:before="0" w:line="240" w:lineRule="auto"/>
        <w:ind w:firstLine="708"/>
        <w:jc w:val="both"/>
        <w:rPr/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активное вовлечение предпринимателей в мероприятия и конкурсы;</w:t>
      </w:r>
      <w:r/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ab/>
        <w:t xml:space="preserve">•</w:t>
        <w:tab/>
        <w:t xml:space="preserve">высокое место в региональном рейтинге и статус наставника для другого муниципалитета.</w:t>
      </w:r>
      <w:r/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i/>
          <w:iCs/>
          <w:sz w:val="24"/>
        </w:rPr>
        <w:t xml:space="preserve">1.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13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.Результаты работы межведомственной комиссии</w:t>
      </w:r>
      <w:r>
        <w:rPr>
          <w:rFonts w:ascii="TimesNewRoman" w:hAnsi="TimesNewRoman" w:eastAsia="TimesNewRoman" w:cs="TimesNewRoman"/>
          <w:sz w:val="24"/>
        </w:rPr>
        <w:t xml:space="preserve"> по обеспечению своевременной и в полном размере выплаты заработной платы, обеспечению полноты уплаты налоговых отчислений с фонда оплаты труда в бюджет: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Проведено 5 заседаний комиссии.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К участию привлечено 137 работодателей.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Итог работы: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53 работодателя согласились повысить среднюю заработную плату на 21% (до уровня не ниже МРОТ).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34 работодателя согласились повысить среднюю заработную плату на 16% (до уровня не ниже ВЭД по виду деятельности).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</w:rPr>
      </w:pPr>
      <w:r>
        <w:rPr>
          <w:rFonts w:ascii="TimesNewRoman" w:hAnsi="TimesNewRoman" w:eastAsia="TimesNewRoman" w:cs="TimesNewRoman"/>
          <w:i/>
          <w:iCs/>
          <w:sz w:val="24"/>
        </w:rPr>
        <w:t xml:space="preserve">1.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14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Организационные мероприятия: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Создана рабочая группа комиссии по противодействию зарплатной задолженности для Богородского муниципального округа (на основании постановления Правительства Нижегородской области от 22.05.2025 № 364).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</w:rPr>
      </w:pPr>
      <w:r>
        <w:rPr>
          <w:rFonts w:ascii="TimesNewRoman" w:hAnsi="TimesNewRoman" w:eastAsia="TimesNewRoman" w:cs="TimesNewRoman"/>
          <w:i/>
          <w:iCs/>
          <w:sz w:val="24"/>
        </w:rPr>
        <w:t xml:space="preserve">1.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15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Консультирование граждан в сфере защиты прав потребителей: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Продолжала работу «горячая линия» по защите прав потребителей (8-831-70-2-20-20).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Предоставлено 36 бесплатных консультаций (помощь в составлении претензий, разъяснение прав).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bCs/>
          <w:i/>
          <w:sz w:val="24"/>
        </w:rPr>
      </w:pPr>
      <w:r>
        <w:rPr>
          <w:rFonts w:ascii="TimesNewRoman" w:hAnsi="TimesNewRoman" w:eastAsia="TimesNewRoman" w:cs="TimesNewRoman"/>
          <w:i/>
          <w:iCs/>
          <w:sz w:val="24"/>
        </w:rPr>
        <w:t xml:space="preserve">1.</w:t>
      </w:r>
      <w:r>
        <w:rPr>
          <w:rFonts w:ascii="TimesNewRoman" w:hAnsi="TimesNewRoman" w:eastAsia="TimesNewRoman" w:cs="TimesNewRoman"/>
          <w:i/>
          <w:iCs/>
          <w:sz w:val="24"/>
          <w:lang w:val="ru-RU"/>
        </w:rPr>
        <w:t xml:space="preserve">16</w:t>
      </w:r>
      <w:r>
        <w:rPr>
          <w:rFonts w:ascii="TimesNewRoman" w:hAnsi="TimesNewRoman" w:eastAsia="TimesNewRoman" w:cs="TimesNewRoman"/>
          <w:i/>
          <w:iCs/>
          <w:sz w:val="24"/>
        </w:rPr>
        <w:t xml:space="preserve">. Регистрация трудовых договоров:</w:t>
      </w:r>
      <w:r>
        <w:rPr>
          <w:rFonts w:ascii="TimesNewRoman" w:hAnsi="TimesNewRoman" w:eastAsia="TimesNewRoman" w:cs="TimesNewRoman"/>
          <w:i/>
          <w:iCs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Осуществлялась регистрация трудовых договоров с работодателями-физическими лицами (не являющимися ИП) на территории Богородского округа.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Зарегистрировано 18 договоров (на заявительной основе).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/>
          <w:i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</w:rPr>
        <w:t xml:space="preserve">1.1</w:t>
      </w: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  <w:lang w:val="ru-RU"/>
        </w:rPr>
        <w:t xml:space="preserve">7</w:t>
      </w: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</w:rPr>
        <w:t xml:space="preserve">.  Создание условий для реализации предпринимательской деятельности в сфере досуга:</w:t>
      </w: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В рамках праздничных мероприятий («Масленица», «День города») организованы: катание на лошадях, повозках.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Заключено 3 договора с индивидуальными предпринимателями и самозанятыми на оказание данных услуг.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25"/>
        <w:pBdr/>
        <w:spacing w:after="0" w:before="0" w:line="283" w:lineRule="atLeast"/>
        <w:ind w:firstLine="720" w:left="0"/>
        <w:contextualSpacing w:val="true"/>
        <w:jc w:val="both"/>
        <w:rPr>
          <w:rFonts w:ascii="TimesNewRoman" w:hAnsi="TimesNewRoman" w:eastAsia="TimesNewRoman" w:cs="TimesNewRoman"/>
          <w:b w:val="0"/>
          <w:bCs/>
          <w:i/>
          <w:color w:val="0d0d0d"/>
          <w:sz w:val="24"/>
          <w:szCs w:val="24"/>
          <w:highlight w:val="none"/>
          <w:u w:val="none"/>
        </w:rPr>
      </w:pP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  <w:u w:val="none"/>
          <w:lang w:val="ru-RU"/>
        </w:rPr>
        <w:t xml:space="preserve">1.18.</w:t>
      </w:r>
      <w:r>
        <w:rPr>
          <w:rFonts w:ascii="TimesNewRoman" w:hAnsi="TimesNewRoman" w:eastAsia="TimesNewRoman" w:cs="TimesNewRoman"/>
          <w:b w:val="0"/>
          <w:i/>
          <w:iCs/>
          <w:color w:val="0d0d0d"/>
          <w:sz w:val="24"/>
          <w:u w:val="none"/>
        </w:rPr>
        <w:t xml:space="preserve"> Информационно-разъяснительная работа по налоговой задолженности:</w:t>
      </w:r>
      <w:r>
        <w:rPr>
          <w:rFonts w:ascii="TimesNewRoman" w:hAnsi="TimesNewRoman" w:eastAsia="TimesNewRoman" w:cs="TimesNewRoman"/>
          <w:b w:val="0"/>
          <w:bCs w:val="0"/>
          <w:i/>
          <w:iCs/>
          <w:color w:val="0d0d0d"/>
          <w:sz w:val="24"/>
          <w:szCs w:val="24"/>
          <w:highlight w:val="none"/>
          <w:u w:val="none"/>
        </w:rPr>
      </w:r>
      <w:r>
        <w:rPr>
          <w:rFonts w:ascii="TimesNewRoman" w:hAnsi="TimesNewRoman" w:eastAsia="TimesNewRoman" w:cs="TimesNewRoman"/>
          <w:b w:val="0"/>
          <w:bCs w:val="0"/>
          <w:i/>
          <w:iCs/>
          <w:color w:val="0d0d0d"/>
          <w:sz w:val="24"/>
          <w:szCs w:val="24"/>
          <w:highlight w:val="none"/>
          <w:u w:val="none"/>
        </w:rPr>
      </w:r>
    </w:p>
    <w:p>
      <w:pPr>
        <w:pStyle w:val="825"/>
        <w:pBdr/>
        <w:spacing w:after="0" w:before="0" w:line="240" w:lineRule="auto"/>
        <w:ind w:firstLine="720" w:left="0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Проводилась систематическая работа по урегулированию задолженности по УСН и ЕНВД. 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40" w:lineRule="auto"/>
        <w:ind w:firstLine="720" w:left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Главный финансовый результат:</w:t>
      </w:r>
      <w:r>
        <w:rPr>
          <w:rFonts w:ascii="TimesNewRoman" w:hAnsi="TimesNewRoman" w:eastAsia="TimesNewRoman" w:cs="TimesNewRoman"/>
          <w:b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В бюджет Богородского муниципального округа добровольно и в результате применения мер воздействия поступило 2 003 028,96 рублей просроченной задолженности.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Поступления (общие) в бюджет по УСН составили 129 799 410,37 руб., что на 1,14% превысило плановый показатель.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Поступления (общие) в бюджет в связи с применением патентной системы налогообложения составило 20503286,58 руб., что на 41,34% больше плана Минфина НО.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/>
          <w:color w:val="0d0d0d"/>
          <w:sz w:val="24"/>
        </w:rPr>
        <w:t xml:space="preserve">Итог: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 В 2025 году работа велась по ключевым направлениям с достижением плановых показателей (налоговые поступления), количественными результатами в контрольной деятельности. 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25"/>
        <w:pBdr/>
        <w:spacing w:after="0" w:before="0" w:line="240" w:lineRule="auto"/>
        <w:ind/>
        <w:jc w:val="center"/>
        <w:rPr>
          <w:rFonts w:ascii="Arial" w:hAnsi="Arial" w:eastAsia="Arial" w:cs="Arial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II.  Развитие потребительского рынка</w:t>
      </w:r>
      <w:r>
        <w:rPr>
          <w:rFonts w:ascii="Arial" w:hAnsi="Arial" w:eastAsia="Arial" w:cs="Arial"/>
          <w:b/>
          <w:sz w:val="24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</w:rPr>
        <w:t xml:space="preserve">2.1.</w:t>
      </w:r>
      <w:r>
        <w:rPr>
          <w:rFonts w:ascii="Times New Roman" w:hAnsi="Times New Roman" w:eastAsia="Times New Roman" w:cs="Times New Roman"/>
          <w:b w:val="0"/>
          <w:bCs w:val="0"/>
          <w:i/>
          <w:iCs/>
        </w:rPr>
        <w:t xml:space="preserve"> Торговая инфраструктура</w:t>
      </w:r>
      <w:r>
        <w:rPr>
          <w:rFonts w:ascii="Times New Roman" w:hAnsi="Times New Roman" w:eastAsia="Times New Roman" w:cs="Times New Roman"/>
          <w:lang w:val="ru-RU"/>
        </w:rPr>
        <w:t xml:space="preserve">:</w:t>
      </w:r>
      <w:r>
        <w:rPr>
          <w:rFonts w:ascii="Times New Roman" w:hAnsi="Times New Roman" w:cs="Times New Roman"/>
        </w:rPr>
      </w:r>
    </w:p>
    <w:p>
      <w:pPr>
        <w:pBdr/>
        <w:spacing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  <w:t xml:space="preserve">На 1 января 2026 года на территории округа действует 398 торговых объектов, в том числе:</w:t>
      </w:r>
      <w:r>
        <w:rPr>
          <w:rFonts w:ascii="Times New Roman" w:hAnsi="Times New Roman" w:eastAsia="Times New Roman" w:cs="Times New Roman"/>
        </w:rPr>
      </w:r>
      <w:r/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продовольственные — 226 ед.;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непродовольственные — 137 ед.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Средняя численность работников торговли — 1 226 человек.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2.2. </w:t>
      </w:r>
      <w:r>
        <w:rPr>
          <w:rFonts w:ascii="Times New Roman" w:hAnsi="Times New Roman" w:eastAsia="Times New Roman" w:cs="Times New Roman"/>
          <w:i/>
          <w:iCs/>
        </w:rPr>
        <w:t xml:space="preserve">Структура розничной торговой сети: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торговые центры — 23 ед.;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стационарные объекты — 279 ед.;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нестационарные объекты — 61 ед. (в т. ч. 9 на частной земле);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аптеки и аптечные пункты — 35 ед.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На территории представлены крупные торговые сети: «Тандер», «Агроторг», «Электроника», «Ордер», «Карри», «Альфа‑Пенза», «Альбион‑2002», «Лабиринт‑Волга», «Спар», «Светофор», «Планета Одежда‑Обувь», «Смарт».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2.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3.</w:t>
      </w:r>
      <w:r>
        <w:rPr>
          <w:rFonts w:ascii="Times New Roman" w:hAnsi="Times New Roman" w:eastAsia="Times New Roman" w:cs="Times New Roman"/>
          <w:i/>
          <w:iCs/>
        </w:rPr>
        <w:t xml:space="preserve"> Обеспеченность торговыми объектами (на 1 января 2026 г.)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Стационарные объекты: 279 ед. при нормативе 171 ед. (+63,7 % к норме).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Нестационарные объекты: 61 ед. при нормативе 35 ед. (+74,3 % к норме).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Торговые места на ярмарках: 2 ед. при нормативе 2 ед. (100 % выполнения).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Объекты по продаже периодической печатной продукции: 3 ед. при нормативе 27 ед. (11,1 % выполнения).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2.4.</w:t>
      </w:r>
      <w:r>
        <w:rPr>
          <w:rFonts w:ascii="Times New Roman" w:hAnsi="Times New Roman" w:eastAsia="Times New Roman" w:cs="Times New Roman"/>
          <w:i/>
          <w:iCs/>
        </w:rPr>
        <w:t xml:space="preserve"> Ярмарочная деятельность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 В 2025 году проведено 9 ярмарок, в том числе:</w:t>
      </w:r>
      <w:r>
        <w:rPr>
          <w:rFonts w:ascii="Times New Roman" w:hAnsi="Times New Roman" w:eastAsia="Times New Roman" w:cs="Times New Roman"/>
        </w:rPr>
      </w:r>
      <w:r/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сезонная сельскохозяйственная ярмарка: 12 предприятий, 20 мест;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«Масленица»: 9 предприятий, 14 мест;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«День города»: 13 предприятий, 29 мест.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2.5.</w:t>
      </w:r>
      <w:r>
        <w:rPr>
          <w:rFonts w:ascii="Times New Roman" w:hAnsi="Times New Roman" w:eastAsia="Times New Roman" w:cs="Times New Roman"/>
          <w:i/>
          <w:iCs/>
        </w:rPr>
        <w:t xml:space="preserve"> Маркировка товаров 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  <w:t xml:space="preserve">В 2025 году обеспечено выполнение требований постановлений Правительства РФ по обязательной маркировке:</w:t>
      </w:r>
      <w:r>
        <w:rPr>
          <w:rFonts w:ascii="Times New Roman" w:hAnsi="Times New Roman" w:eastAsia="Times New Roman" w:cs="Times New Roman"/>
        </w:rPr>
      </w:r>
      <w:r/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табачной продукции;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обувных товаров;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товаров лёгкой промышленности;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парфюмерии и косметики;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фототоваров;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шин;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молочной продукции и др. (всего более 20 категорий).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Проводился еженедельный мониторинг готовности участников оборота (через систему АРМ «Маркировка»).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В Богородском округе 2025 году б</w:t>
      </w:r>
      <w:r>
        <w:rPr>
          <w:rFonts w:ascii="TimesNewRoman" w:hAnsi="TimesNewRoman" w:eastAsia="TimesNewRoman" w:cs="TimesNewRoman"/>
          <w:sz w:val="24"/>
        </w:rPr>
        <w:t xml:space="preserve">ыл выполнен целевой показатель «количество торговых объектов, в которых обеспечено использование Цифрового ID должно составлять более 50% от фактического количества торговых объектов», установленный Штабом потребительского рынка Мипромторга РФ на 2025 год.</w:t>
      </w:r>
      <w:r/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Показатель составил 61,1%, что превышает 50%.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</w:rPr>
      </w:r>
      <w:r>
        <w:rPr>
          <w:rFonts w:ascii="Times New Roman" w:hAnsi="Times New Roman" w:eastAsia="Times New Roman" w:cs="Times New Roman"/>
          <w:i w:val="0"/>
          <w:sz w:val="24"/>
        </w:rPr>
      </w:r>
      <w:r>
        <w:rPr>
          <w:rFonts w:ascii="Times New Roman" w:hAnsi="Times New Roman" w:eastAsia="Times New Roman" w:cs="Times New Roman"/>
        </w:rPr>
      </w:r>
    </w:p>
    <w:p>
      <w:pPr>
        <w:pStyle w:val="825"/>
        <w:pBdr/>
        <w:spacing w:after="0" w:before="0" w:line="240" w:lineRule="auto"/>
        <w:ind/>
        <w:jc w:val="center"/>
        <w:rPr>
          <w:rFonts w:ascii="TimesNewRoman" w:hAnsi="TimesNewRoman" w:eastAsia="TimesNewRoman" w:cs="TimesNewRoman"/>
          <w:b/>
          <w:bCs/>
          <w:i w:val="0"/>
          <w:sz w:val="24"/>
        </w:rPr>
      </w:pPr>
      <w:r>
        <w:rPr>
          <w:rFonts w:ascii="TimesNewRoman" w:hAnsi="TimesNewRoman" w:eastAsia="TimesNewRoman" w:cs="TimesNewRoman"/>
          <w:b/>
          <w:bCs/>
          <w:i w:val="0"/>
          <w:sz w:val="24"/>
        </w:rPr>
        <w:t xml:space="preserve">В сфере развития торговой деятельности велась работа </w:t>
      </w:r>
      <w:r>
        <w:rPr>
          <w:rFonts w:ascii="TimesNewRoman" w:hAnsi="TimesNewRoman" w:eastAsia="TimesNewRoman" w:cs="TimesNewRoman"/>
          <w:b/>
          <w:bCs/>
          <w:i w:val="0"/>
          <w:sz w:val="24"/>
          <w:u w:val="single"/>
        </w:rPr>
        <w:t xml:space="preserve">по направлениям:</w:t>
      </w:r>
      <w:r>
        <w:rPr>
          <w:rFonts w:ascii="TimesNewRoman" w:hAnsi="TimesNewRoman" w:eastAsia="TimesNewRoman" w:cs="TimesNewRoman"/>
          <w:b/>
          <w:bCs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highlight w:val="white"/>
          <w:u w:val="none"/>
        </w:rPr>
        <w:t xml:space="preserve">2.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none"/>
          <w:lang w:val="ru-RU"/>
        </w:rPr>
        <w:t xml:space="preserve">6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none"/>
        </w:rPr>
        <w:t xml:space="preserve">.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 Инвентаризация и обеспечение правопорядка: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2.</w:t>
      </w:r>
      <w:r>
        <w:rPr>
          <w:rFonts w:ascii="TimesNewRoman" w:hAnsi="TimesNewRoman" w:eastAsia="TimesNewRoman" w:cs="TimesNewRoman"/>
          <w:i w:val="0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i w:val="0"/>
          <w:sz w:val="24"/>
        </w:rPr>
        <w:t xml:space="preserve">.1.В 2025 г проведена инвентаризация 45 НТО и мест их размещения в соответствии с постановлением администрации.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Выявлено и передано в управление благоустройства для демонтажа сведения о 6 незаконно размещенных объектах (4 – на неузаконенных местах по Схеме, 2 – вне Схемы).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 w:val="0"/>
          <w:i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В рамках легализации 1 киоск узаконен (заключен договор), 1 незаконный киоск демонтирован.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 w:val="0"/>
          <w:i w:val="0"/>
          <w:sz w:val="24"/>
          <w:szCs w:val="24"/>
        </w:rPr>
      </w:pPr>
      <w:r>
        <w:rPr>
          <w:rFonts w:ascii="TimesNewRoman" w:hAnsi="TimesNewRoman" w:eastAsia="TimesNewRoman" w:cs="TimesNewRoman"/>
          <w:i w:val="0"/>
          <w:sz w:val="24"/>
          <w:highlight w:val="none"/>
        </w:rPr>
      </w:r>
      <w:r>
        <w:rPr>
          <w:rFonts w:ascii="TimesNewRoman" w:hAnsi="TimesNewRoman" w:eastAsia="TimesNewRoman" w:cs="TimesNewRoman"/>
          <w:i w:val="0"/>
          <w:sz w:val="24"/>
          <w:highlight w:val="none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sz w:val="24"/>
        </w:rPr>
        <w:t xml:space="preserve">.2. Несмотря,</w:t>
      </w:r>
      <w:r>
        <w:rPr>
          <w:rFonts w:ascii="TimesNewRoman" w:hAnsi="TimesNewRoman" w:eastAsia="TimesNewRoman" w:cs="TimesNewRoman"/>
          <w:sz w:val="24"/>
        </w:rPr>
        <w:t xml:space="preserve"> на отмену муниципального контроля в cфере торговой деятельности должностные лица органов местного самоуправления в соответствии со ст. 12.3 КоАП Нижегородской области уполномочены на составление протоколов по ст. 2.5 КоАП НО. Отделом малого предпринимател</w:t>
      </w:r>
      <w:r>
        <w:rPr>
          <w:rFonts w:ascii="TimesNewRoman" w:hAnsi="TimesNewRoman" w:eastAsia="TimesNewRoman" w:cs="TimesNewRoman"/>
          <w:sz w:val="24"/>
        </w:rPr>
        <w:t xml:space="preserve">ьства и потребительского рынка во взаимодействии с ОИАЗ ОМВД России «Богородский» проводилась регулярная работа по пресечению несанкционированной торговли в местах, неотведенных органами местного самоуправления и составлялись протоколы по ст. 2.5 КоАП НО. 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По материалам ОМВД выявлено 12 административных правонарушений.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Составлено 12 протоколов, из которых 10 рассмотрены мировым судом с положительным исходом.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color w:val="0d0d0d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Нарушители привлечены к ответственности; назначены штрафы на общую сумму 30 000 руб.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color w:val="0d0d0d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  <w:highlight w:val="none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  <w:highlight w:val="none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2.</w:t>
      </w:r>
      <w:r>
        <w:rPr>
          <w:rFonts w:ascii="TimesNewRoman" w:hAnsi="TimesNewRoman" w:eastAsia="TimesNewRoman" w:cs="TimesNewRoman"/>
          <w:b w:val="0"/>
          <w:color w:val="0d0d0d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.3.Обеспечение антитеррористической защищенности объектов торговли: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Совместно с правоохранительными органами и МЧС проведены проверки в 42 торговых объектах (включая 14 повторных).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По результатам сотрудниками Росгвардии РФ составлены 2 административных протокола по ст. 20.35 ч. 1 КоАП РФ.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i w:val="0"/>
          <w:sz w:val="24"/>
          <w:u w:val="single"/>
        </w:rPr>
      </w:pPr>
      <w:r>
        <w:rPr>
          <w:rFonts w:ascii="TimesNewRoman" w:hAnsi="TimesNewRoman" w:eastAsia="TimesNewRoman" w:cs="TimesNewRoman"/>
          <w:i w:val="0"/>
          <w:sz w:val="24"/>
          <w:u w:val="single"/>
        </w:rPr>
      </w:r>
      <w:r>
        <w:rPr>
          <w:rFonts w:ascii="TimesNewRoman" w:hAnsi="TimesNewRoman" w:eastAsia="TimesNewRoman" w:cs="TimesNewRoman"/>
          <w:i w:val="0"/>
          <w:sz w:val="24"/>
          <w:u w:val="singl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highlight w:val="white"/>
          <w:u w:val="none"/>
        </w:rPr>
        <w:t xml:space="preserve">2.</w:t>
      </w:r>
      <w:r>
        <w:rPr>
          <w:rFonts w:ascii="TimesNewRoman" w:hAnsi="TimesNewRoman" w:eastAsia="TimesNewRoman" w:cs="TimesNewRoman"/>
          <w:i/>
          <w:iCs/>
          <w:sz w:val="24"/>
          <w:u w:val="none"/>
          <w:lang w:val="ru-RU"/>
        </w:rPr>
        <w:t xml:space="preserve">7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. Развитие торговой сети и конкурентные процедуры: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Утверждена Схема размещения НТО, включающая 389 мест (363 круглогодичных, 26 сезонных). На отчетную дату предоставлено 94 места.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Проведено 4 аукциона по 18 лотам, по результатам которых заключено 3 договора на общую сумму 36 006,96 руб.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Заключено 3 договора по приоритетному праву (без аукциона).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По состоянию на 01.01.2026 действует 60 договоров на размещение НТО. Торговым обслуживанием (включая автолавки) охвачен 41 населенный пункт, из них 22 – труднодоступных и малонаселенных.</w:t>
      </w:r>
      <w:r>
        <w:rPr>
          <w:rFonts w:ascii="TimesNewRoman" w:hAnsi="TimesNewRoman" w:eastAsia="TimesNewRoman" w:cs="TimesNewRoman"/>
          <w:i w:val="0"/>
          <w:sz w:val="24"/>
        </w:rPr>
      </w:r>
      <w:r>
        <w:rPr>
          <w:rFonts w:ascii="TimesNewRoman" w:hAnsi="TimesNewRoman" w:eastAsia="TimesNewRoman" w:cs="TimesNewRoman"/>
          <w:i w:val="0"/>
          <w:sz w:val="24"/>
        </w:rPr>
      </w:r>
      <w:r>
        <w:rPr>
          <w:rFonts w:ascii="TimesNewRoman" w:hAnsi="TimesNewRoman" w:eastAsia="TimesNewRoman" w:cs="TimesNewRoman"/>
          <w:i w:val="0"/>
          <w:sz w:val="24"/>
        </w:rPr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single"/>
        </w:rPr>
      </w:pP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</w:rPr>
        <w:t xml:space="preserve">2.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  <w:lang w:val="ru-RU"/>
        </w:rPr>
        <w:t xml:space="preserve">8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</w:rPr>
        <w:t xml:space="preserve">.</w:t>
      </w:r>
      <w:r>
        <w:rPr>
          <w:rFonts w:ascii="TimesNewRoman" w:hAnsi="TimesNewRoman" w:eastAsia="TimesNewRoman" w:cs="TimesNewRoman"/>
          <w:i/>
          <w:iCs/>
          <w:sz w:val="24"/>
          <w:u w:val="single"/>
        </w:rPr>
        <w:t xml:space="preserve"> Финансовые результаты:</w:t>
      </w:r>
      <w:r>
        <w:rPr>
          <w:rFonts w:ascii="TimesNewRoman" w:hAnsi="TimesNewRoman" w:eastAsia="TimesNewRoman" w:cs="TimesNewRoman"/>
          <w:i/>
          <w:iCs/>
          <w:sz w:val="24"/>
          <w:u w:val="singl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Доходы бюджета от размещения НТО составили 842 426,46 руб., что на 25 907,70 руб. больше, чем в 2024 году.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Организована ежемесячная работа по контролю за дебиторской задолженностью.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b/>
          <w:i w:val="0"/>
          <w:sz w:val="24"/>
        </w:rPr>
        <w:t xml:space="preserve">Итог:</w:t>
      </w:r>
      <w:r>
        <w:rPr>
          <w:rFonts w:ascii="TimesNewRoman" w:hAnsi="TimesNewRoman" w:eastAsia="TimesNewRoman" w:cs="TimesNewRoman"/>
          <w:i w:val="0"/>
          <w:sz w:val="24"/>
        </w:rPr>
        <w:t xml:space="preserve"> В целях взыскания задолженности в досудебном порядке направлено 2 требования на общую сумму 10 936,86 руб. Материалы переданы в суд.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single"/>
        </w:rPr>
      </w:pP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</w:rPr>
        <w:t xml:space="preserve">2.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  <w:lang w:val="ru-RU"/>
        </w:rPr>
        <w:t xml:space="preserve">9</w:t>
      </w:r>
      <w:r>
        <w:rPr>
          <w:rFonts w:ascii="TimesNewRoman" w:hAnsi="TimesNewRoman" w:eastAsia="TimesNewRoman" w:cs="TimesNewRoman"/>
          <w:i/>
          <w:iCs/>
          <w:sz w:val="24"/>
          <w:highlight w:val="white"/>
          <w:u w:val="single"/>
        </w:rPr>
        <w:t xml:space="preserve">.</w:t>
      </w:r>
      <w:r>
        <w:rPr>
          <w:rFonts w:ascii="TimesNewRoman" w:hAnsi="TimesNewRoman" w:eastAsia="TimesNewRoman" w:cs="TimesNewRoman"/>
          <w:i/>
          <w:iCs/>
          <w:sz w:val="24"/>
          <w:u w:val="single"/>
        </w:rPr>
        <w:t xml:space="preserve"> Организационная работа:</w:t>
      </w:r>
      <w:r>
        <w:rPr>
          <w:rFonts w:ascii="TimesNewRoman" w:hAnsi="TimesNewRoman" w:eastAsia="TimesNewRoman" w:cs="TimesNewRoman"/>
          <w:i/>
          <w:iCs/>
          <w:sz w:val="24"/>
          <w:u w:val="singl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 xml:space="preserve">2.</w:t>
      </w:r>
      <w:r>
        <w:rPr>
          <w:rFonts w:ascii="TimesNewRoman" w:hAnsi="TimesNewRoman" w:eastAsia="TimesNewRoman" w:cs="TimesNewRoman"/>
          <w:i w:val="0"/>
          <w:sz w:val="24"/>
          <w:lang w:val="ru-RU"/>
        </w:rPr>
        <w:t xml:space="preserve">9</w:t>
      </w:r>
      <w:r>
        <w:rPr>
          <w:rFonts w:ascii="TimesNewRoman" w:hAnsi="TimesNewRoman" w:eastAsia="TimesNewRoman" w:cs="TimesNewRoman"/>
          <w:i w:val="0"/>
          <w:sz w:val="24"/>
        </w:rPr>
        <w:t xml:space="preserve">.1.Проведено 6 заседаний Межведомственной комиссии (МВК) в сфере потребительского рынка, на которых рассмотрено 11 вопросов, включая актуализацию Схемы размещения НТО.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i w:val="0"/>
          <w:color w:val="0d0d0d"/>
          <w:sz w:val="24"/>
        </w:rPr>
        <w:t xml:space="preserve">2.</w:t>
      </w:r>
      <w:r>
        <w:rPr>
          <w:rFonts w:ascii="TimesNewRoman" w:hAnsi="TimesNewRoman" w:eastAsia="TimesNewRoman" w:cs="TimesNewRoman"/>
          <w:b w:val="0"/>
          <w:i w:val="0"/>
          <w:color w:val="0d0d0d"/>
          <w:sz w:val="24"/>
          <w:lang w:val="ru-RU"/>
        </w:rPr>
        <w:t xml:space="preserve">9</w:t>
      </w:r>
      <w:r>
        <w:rPr>
          <w:rFonts w:ascii="TimesNewRoman" w:hAnsi="TimesNewRoman" w:eastAsia="TimesNewRoman" w:cs="TimesNewRoman"/>
          <w:b w:val="0"/>
          <w:i w:val="0"/>
          <w:color w:val="0d0d0d"/>
          <w:sz w:val="24"/>
        </w:rPr>
        <w:t xml:space="preserve">.2.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Адаптация объектов потребительского рынка для маломобильных групп населения: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Всего адаптировано 161 объект.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83" w:lineRule="atLeast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color w:val="0d0d0d"/>
          <w:sz w:val="24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</w:rPr>
        <w:t xml:space="preserve">В отчетном году 10 организациями выполнены мероприятия по обеспечению доступности.</w:t>
      </w:r>
      <w:r>
        <w:rPr>
          <w:rFonts w:ascii="TimesNewRoman" w:hAnsi="TimesNewRoman" w:eastAsia="TimesNewRoman" w:cs="TimesNewRoman"/>
          <w:b w:val="0"/>
          <w:color w:val="0d0d0d"/>
          <w:sz w:val="24"/>
        </w:rPr>
      </w:r>
    </w:p>
    <w:p>
      <w:pPr>
        <w:pStyle w:val="825"/>
        <w:pBdr/>
        <w:spacing w:after="0" w:before="0" w:line="240" w:lineRule="auto"/>
        <w:ind w:firstLine="708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i w:val="0"/>
          <w:sz w:val="24"/>
        </w:rPr>
        <w:tab/>
      </w:r>
      <w:r>
        <w:rPr>
          <w:rFonts w:ascii="TimesNewRoman" w:hAnsi="TimesNewRoman" w:eastAsia="TimesNewRoman" w:cs="TimesNewRoman"/>
          <w:i w:val="0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i w:val="0"/>
          <w:sz w:val="24"/>
        </w:rPr>
      </w:pPr>
      <w:r>
        <w:rPr>
          <w:rFonts w:ascii="TimesNewRoman" w:hAnsi="TimesNewRoman" w:eastAsia="TimesNewRoman" w:cs="TimesNewRoman"/>
          <w:b/>
          <w:i w:val="0"/>
          <w:sz w:val="24"/>
        </w:rPr>
        <w:t xml:space="preserve">Итог: </w:t>
      </w:r>
      <w:r>
        <w:rPr>
          <w:rFonts w:ascii="TimesNewRoman" w:hAnsi="TimesNewRoman" w:eastAsia="TimesNewRoman" w:cs="TimesNewRoman"/>
          <w:i w:val="0"/>
          <w:sz w:val="24"/>
        </w:rPr>
        <w:t xml:space="preserve">В 2025 году провед</w:t>
      </w:r>
      <w:r>
        <w:rPr>
          <w:rFonts w:ascii="TimesNewRoman" w:hAnsi="TimesNewRoman" w:eastAsia="TimesNewRoman" w:cs="TimesNewRoman"/>
          <w:i w:val="0"/>
          <w:sz w:val="24"/>
        </w:rPr>
        <w:t xml:space="preserve">ена комплексная работа по упорядочению размещения НТО, легализации объектов, развитию торговой инфраструктуры, в том числе в отдаленных населенных пунктах, и увеличению доходной части бюджета. Приняты меры по пресечению нарушений и взысканию задолженности </w:t>
      </w:r>
      <w:r>
        <w:rPr>
          <w:rFonts w:ascii="TimesNewRoman" w:hAnsi="TimesNewRoman" w:eastAsia="TimesNewRoman" w:cs="TimesNewRoman"/>
          <w:b w:val="0"/>
          <w:i w:val="0"/>
          <w:color w:val="0d0d0d"/>
          <w:sz w:val="24"/>
        </w:rPr>
        <w:t xml:space="preserve">и увеличением числа адаптированных для инвалидов объектов.</w:t>
      </w:r>
      <w:r>
        <w:rPr>
          <w:rFonts w:ascii="TimesNewRoman" w:hAnsi="TimesNewRoman" w:eastAsia="TimesNewRoman" w:cs="TimesNewRoman"/>
          <w:i w:val="0"/>
          <w:sz w:val="24"/>
        </w:rPr>
      </w:r>
    </w:p>
    <w:p>
      <w:pPr>
        <w:pStyle w:val="825"/>
        <w:pBdr/>
        <w:spacing w:after="0" w:before="0" w:line="240" w:lineRule="auto"/>
        <w:ind w:firstLine="709" w:left="0"/>
        <w:jc w:val="center"/>
        <w:rPr>
          <w:rFonts w:ascii="TimesNewRoman" w:hAnsi="TimesNewRoman" w:eastAsia="TimesNewRoman" w:cs="TimesNewRoman"/>
          <w:b/>
          <w:color w:val="0d0d0d"/>
          <w:sz w:val="24"/>
        </w:rPr>
      </w:pPr>
      <w:r>
        <w:rPr>
          <w:rFonts w:ascii="TimesNewRoman" w:hAnsi="TimesNewRoman" w:eastAsia="TimesNewRoman" w:cs="TimesNewRoman"/>
          <w:b/>
          <w:color w:val="0d0d0d"/>
          <w:sz w:val="24"/>
        </w:rPr>
      </w:r>
      <w:r>
        <w:rPr>
          <w:rFonts w:ascii="TimesNewRoman" w:hAnsi="TimesNewRoman" w:eastAsia="TimesNewRoman" w:cs="TimesNewRoman"/>
          <w:b/>
          <w:color w:val="0d0d0d"/>
          <w:sz w:val="24"/>
        </w:rPr>
      </w:r>
    </w:p>
    <w:p>
      <w:pPr>
        <w:pBdr/>
        <w:spacing/>
        <w:ind w:firstLine="7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  <w:t xml:space="preserve">2.10.</w:t>
      </w:r>
      <w:r>
        <w:rPr>
          <w:rFonts w:ascii="Times New Roman" w:hAnsi="Times New Roman" w:eastAsia="Times New Roman" w:cs="Times New Roman"/>
          <w:i/>
          <w:iCs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 Контроль цен и ассортимента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</w:rPr>
        <w:t xml:space="preserve"> 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Еженедельно осуществлялся мониторинг: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наличия на полках социально значимых товаров;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уровня цен на них.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Данные вносились в систему АРМ «Мониторинг».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25"/>
        <w:pBdr/>
        <w:spacing w:after="0" w:before="0" w:line="283" w:lineRule="atLeast"/>
        <w:ind w:firstLine="720" w:left="0"/>
        <w:contextualSpacing w:val="true"/>
        <w:jc w:val="both"/>
        <w:rPr>
          <w:rFonts w:ascii="TimesNewRoman" w:hAnsi="TimesNewRoman" w:eastAsia="TimesNewRoman" w:cs="TimesNewRoman"/>
          <w:b w:val="0"/>
          <w:bCs/>
          <w:i/>
          <w:sz w:val="24"/>
          <w:szCs w:val="24"/>
          <w:u w:val="single"/>
        </w:rPr>
      </w:pPr>
      <w:r>
        <w:rPr>
          <w:rFonts w:ascii="TimesNewRoman" w:hAnsi="TimesNewRoman" w:eastAsia="TimesNewRoman" w:cs="TimesNewRoman"/>
          <w:b w:val="0"/>
          <w:bCs w:val="0"/>
          <w:i/>
          <w:iCs/>
          <w:sz w:val="24"/>
          <w:szCs w:val="24"/>
          <w:u w:val="single"/>
        </w:rPr>
      </w:r>
      <w:r>
        <w:rPr>
          <w:rFonts w:ascii="TimesNewRoman" w:hAnsi="TimesNewRoman" w:eastAsia="TimesNewRoman" w:cs="TimesNewRoman"/>
          <w:b w:val="0"/>
          <w:bCs w:val="0"/>
          <w:i/>
          <w:iCs/>
          <w:sz w:val="24"/>
          <w:szCs w:val="24"/>
          <w:u w:val="single"/>
        </w:rPr>
      </w:r>
    </w:p>
    <w:p>
      <w:pPr>
        <w:pBdr/>
        <w:spacing/>
        <w:ind w:firstLine="72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2.11</w:t>
      </w:r>
      <w:r>
        <w:rPr>
          <w:rFonts w:ascii="Times New Roman" w:hAnsi="Times New Roman" w:eastAsia="Times New Roman" w:cs="Times New Roman"/>
          <w:i/>
          <w:iCs/>
        </w:rPr>
        <w:t xml:space="preserve">. Общественное питание 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1 января 2</w:t>
      </w:r>
      <w:r>
        <w:rPr>
          <w:rFonts w:ascii="Times New Roman" w:hAnsi="Times New Roman" w:eastAsia="Times New Roman" w:cs="Times New Roman"/>
          <w:lang w:val="ru-RU"/>
        </w:rPr>
        <w:t xml:space="preserve">026</w:t>
      </w:r>
      <w:r>
        <w:rPr>
          <w:rFonts w:ascii="Times New Roman" w:hAnsi="Times New Roman" w:eastAsia="Times New Roman" w:cs="Times New Roman"/>
        </w:rPr>
        <w:t xml:space="preserve"> года сеть включает 29 объектов на 1 152 посадочных места: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рестораны — 3;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кафе — 15;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общедоступные столовые — 4;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закусочные — 3;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бар — 1;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кафетерий — 1;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магазины‑пекарни — 2.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Дополнительно действуют 21 школьная столовая на 2 311 посадочных мест.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 w:firstLine="7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2.12</w:t>
      </w:r>
      <w:r>
        <w:rPr>
          <w:rFonts w:ascii="Times New Roman" w:hAnsi="Times New Roman" w:eastAsia="Times New Roman" w:cs="Times New Roman"/>
          <w:i/>
          <w:iCs/>
        </w:rPr>
        <w:t xml:space="preserve">. Бытовое обслуживание </w:t>
      </w:r>
      <w:r>
        <w:rPr>
          <w:rFonts w:ascii="Times New Roman" w:hAnsi="Times New Roman" w:eastAsia="Times New Roman" w:cs="Times New Roman"/>
          <w:i/>
          <w:iCs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</w:rPr>
        <w:t xml:space="preserve">В 2025 году услуги оказывали 190 предприятий.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 В сельской местности сфера бытовых услуг развита слабо из‑за низкой платёжеспособности населения</w:t>
      </w:r>
      <w:r>
        <w:rPr>
          <w:rFonts w:ascii="Times New Roman" w:hAnsi="Times New Roman" w:eastAsia="Times New Roman" w:cs="Times New Roman"/>
          <w:lang w:val="ru-RU"/>
        </w:rPr>
        <w:t xml:space="preserve"> и отсутствия свободных помещений.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 w:firstLine="7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  <w:lang w:val="ru-RU"/>
        </w:rPr>
        <w:t xml:space="preserve">2.13</w:t>
      </w:r>
      <w:r>
        <w:rPr>
          <w:rFonts w:ascii="Times New Roman" w:hAnsi="Times New Roman" w:eastAsia="Times New Roman" w:cs="Times New Roman"/>
          <w:i/>
          <w:iCs/>
        </w:rPr>
        <w:t xml:space="preserve">. Услуги связи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Фиксированная телефония: ПАО «Ростелеком».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ШПД‑интернет: ПАО «Ростелеком», «Сойка».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Сотовая связь: ПАО «Мегафон», ПАО «Вымпелком», ООО «МТС», ООО «Т2 Мобайл», «Сбермобайл».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Почтовые и финансово‑банковские услуги: «Богородский почтамт» (12 филиалов «Почта России», охват — 11 населённых пунктов).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i/>
          <w:highlight w:val="none"/>
        </w:rPr>
      </w:pPr>
      <w:r>
        <w:rPr>
          <w:rFonts w:ascii="Times New Roman" w:hAnsi="Times New Roman" w:eastAsia="Times New Roman" w:cs="Times New Roman"/>
          <w:i/>
          <w:iCs/>
        </w:rPr>
        <w:t xml:space="preserve">Ключевые достижения 2025 года:</w:t>
      </w:r>
      <w:r>
        <w:rPr>
          <w:rFonts w:ascii="Times New Roman" w:hAnsi="Times New Roman" w:eastAsia="Times New Roman" w:cs="Times New Roman"/>
          <w:i/>
          <w:iCs/>
        </w:rPr>
      </w:r>
      <w:r>
        <w:rPr>
          <w:rFonts w:ascii="Times New Roman" w:hAnsi="Times New Roman" w:eastAsia="Times New Roman" w:cs="Times New Roman"/>
          <w:i/>
          <w:iCs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превышение норматива по стационарным и нестационарным торговым объектам;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успешная реализация программы ярмарочной торговли (9 мероприятий);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бесперебойный контроль маркировки товаров и цен на социально значимые товары;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•</w:t>
        <w:tab/>
        <w:t xml:space="preserve">сохранение развитой сети общественного питания и услуг связи.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25"/>
        <w:pBdr/>
        <w:spacing w:after="0" w:before="0" w:line="283" w:lineRule="atLeast"/>
        <w:ind w:firstLine="720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sz w:val="24"/>
          <w:szCs w:val="24"/>
          <w:u w:val="single"/>
        </w:rPr>
      </w:pPr>
      <w:r>
        <w:rPr>
          <w:rFonts w:ascii="TimesNewRoman" w:hAnsi="TimesNewRoman" w:eastAsia="TimesNewRoman" w:cs="TimesNewRoman"/>
          <w:b w:val="0"/>
          <w:color w:val="0d0d0d"/>
          <w:sz w:val="24"/>
          <w:highlight w:val="none"/>
          <w:u w:val="single"/>
        </w:rPr>
      </w:r>
      <w:r>
        <w:rPr>
          <w:rFonts w:ascii="TimesNewRoman" w:hAnsi="TimesNewRoman" w:eastAsia="TimesNewRoman" w:cs="TimesNewRoman"/>
          <w:b w:val="0"/>
          <w:color w:val="0d0d0d"/>
          <w:sz w:val="24"/>
          <w:highlight w:val="none"/>
          <w:u w:val="single"/>
        </w:rPr>
      </w:r>
    </w:p>
    <w:p>
      <w:pPr>
        <w:pStyle w:val="825"/>
        <w:pBdr/>
        <w:spacing w:after="0" w:before="0" w:line="240" w:lineRule="auto"/>
        <w:ind w:firstLine="709" w:left="0"/>
        <w:jc w:val="both"/>
        <w:rPr>
          <w:rFonts w:ascii="TimesNewRoman" w:hAnsi="TimesNewRoman" w:eastAsia="TimesNewRoman" w:cs="TimesNewRoman"/>
          <w:b/>
          <w:color w:val="0d0d0d"/>
          <w:sz w:val="24"/>
        </w:rPr>
      </w:pPr>
      <w:r>
        <w:rPr>
          <w:rFonts w:ascii="TimesNewRoman" w:hAnsi="TimesNewRoman" w:eastAsia="TimesNewRoman" w:cs="TimesNewRoman"/>
          <w:b/>
          <w:color w:val="0d0d0d"/>
          <w:sz w:val="24"/>
        </w:rPr>
        <w:t xml:space="preserve">III. Ключевые результаты за 2025 год  в сфере осуществления полномочий в соответствии со статьей 19 Федерального закона от 13 марта 2006 года N 38-ФЗ "О рекламе"</w:t>
      </w:r>
      <w:r>
        <w:rPr>
          <w:rFonts w:ascii="TimesNewRoman" w:hAnsi="TimesNewRoman" w:eastAsia="TimesNewRoman" w:cs="TimesNewRoman"/>
          <w:b/>
          <w:color w:val="0d0d0d"/>
          <w:sz w:val="24"/>
        </w:rPr>
      </w:r>
    </w:p>
    <w:p>
      <w:pPr>
        <w:pStyle w:val="825"/>
        <w:pBdr/>
        <w:spacing w:after="0" w:before="0" w:line="240" w:lineRule="auto"/>
        <w:ind/>
        <w:jc w:val="left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3.1. Административно-разрешительная деятельность: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Оказана муниципальная услуга по выдаче разрешений на установку и эксплуатацию рекламных конструкций. Все 14 выданных разрешений оформлены в электронном виде через ЕПГУ, что свидетельствует о полной цифровизации услуги и повышении ее доступности.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контроле обеспечения законности: на стадии приема документов отказано в 4 случаях, в выдаче разрешений – в 4 случаях.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3.2. Планирование и упорядочивание размещения: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Действует утвержденная Схема размещения рекламных конструкций, включающая 89 мест, из которых 52 расположены в г. Богородске. Создана правовая основа для цивилизованного развития наружной рекламы.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3.3. Финансово-бюджетная эффективность: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Достижение: Местный бюджет пополнен за счет рекламного хозяйства на 1 903 913,24 руб., что подтверждает экономическую эффективность регулирования данной сферы: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Поступления от государственной пошлины: 60 000,00 руб.;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Доходы от договоров на размещение конструкций на муниципальном имуществе и неразграниченных землях: 1 841 913,24 руб.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Расходы бюджета на демонтаж незаконных конструкций составили 61 445,87 руб.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3.4.Обеспечение правопорядка и борьба с нарушениями: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Достижение: Проведена активная и результативная работа по пресечению несанкционированного размещения рекламных конструкций: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Выдано 61 предписание о демонтаже незаконных рекламных конструкций.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Опубликовано 4 информационных сообщения для неизвестных владельцев.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Во взаимодействии с ОМВД составлено 2 административных протокола по ст. 14.37 КоАП РФ.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Итоговый результат: Демонтировано 63 рекламных конструкции, из которых 61 – силами владельцев/собственников, 2 – администрацией округа. Работа по предписаниям выполнена в полном объеме с превышением плана по демонтажу.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Cs/>
          <w:i/>
          <w:sz w:val="24"/>
          <w:u w:val="none"/>
        </w:rPr>
      </w:pPr>
      <w:r>
        <w:rPr>
          <w:rFonts w:ascii="TimesNewRoman" w:hAnsi="TimesNewRoman" w:eastAsia="TimesNewRoman" w:cs="TimesNewRoman"/>
          <w:i/>
          <w:iCs/>
          <w:sz w:val="24"/>
          <w:u w:val="none"/>
        </w:rPr>
        <w:t xml:space="preserve">3.5. Стабильность правового поля:</w:t>
      </w:r>
      <w:r>
        <w:rPr>
          <w:rFonts w:ascii="TimesNewRoman" w:hAnsi="TimesNewRoman" w:eastAsia="TimesNewRoman" w:cs="TimesNewRoman"/>
          <w:i/>
          <w:iCs/>
          <w:sz w:val="24"/>
          <w:u w:val="none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За отчетный период не аннулировано ни одного ранее выданного разрешения, что указывает на соблюдение разрешительного порядка со стороны действующих рекламодателей.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Вывод: Полномочия в сфере регулирования наружной рекламы в 2025 году осуществлялись в полном </w:t>
      </w:r>
      <w:r>
        <w:rPr>
          <w:rFonts w:ascii="TimesNewRoman" w:hAnsi="TimesNewRoman" w:eastAsia="TimesNewRoman" w:cs="TimesNewRoman"/>
          <w:b/>
          <w:sz w:val="24"/>
        </w:rPr>
        <w:t xml:space="preserve">объеме. Достигнуты значимые результаты в части пополнения местного бюджета, полной цифровизации услуги, эффективного планирования размещения конструкций и системной ликвидации нарушений, что способствует поддержанию порядка в рекламном пространстве округа.</w:t>
      </w:r>
      <w:r>
        <w:rPr>
          <w:rFonts w:ascii="TimesNewRoman" w:hAnsi="TimesNewRoman" w:eastAsia="TimesNewRoman" w:cs="TimesNewRoman"/>
          <w:b/>
          <w:sz w:val="24"/>
        </w:rPr>
      </w:r>
    </w:p>
    <w:p>
      <w:pPr>
        <w:pStyle w:val="825"/>
        <w:pBdr/>
        <w:spacing w:after="0" w:before="0" w:line="240" w:lineRule="auto"/>
        <w:ind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825"/>
        <w:pBdr/>
        <w:tabs>
          <w:tab w:val="left" w:leader="none" w:pos="1134"/>
          <w:tab w:val="left" w:leader="none" w:pos="1418"/>
        </w:tabs>
        <w:bidi w:val="false"/>
        <w:spacing w:after="0" w:before="0" w:line="240" w:lineRule="auto"/>
        <w:ind w:firstLine="0" w:left="567"/>
        <w:jc w:val="center"/>
        <w:rPr>
          <w:rFonts w:ascii="TimesNewRoman" w:hAnsi="TimesNewRoman" w:eastAsia="TimesNewRoman" w:cs="TimesNewRoman"/>
          <w:b/>
          <w:color w:val="000000"/>
          <w:sz w:val="24"/>
        </w:rPr>
      </w:pPr>
      <w:r>
        <w:rPr>
          <w:rFonts w:ascii="TimesNewRoman" w:hAnsi="TimesNewRoman" w:eastAsia="TimesNewRoman" w:cs="TimesNewRoman"/>
          <w:b/>
          <w:caps/>
          <w:color w:val="000000"/>
          <w:sz w:val="24"/>
        </w:rPr>
        <w:t xml:space="preserve">IV.</w:t>
      </w:r>
      <w:r>
        <w:rPr>
          <w:rFonts w:ascii="TimesNewRoman" w:hAnsi="TimesNewRoman" w:eastAsia="TimesNewRoman" w:cs="TimesNewRoman"/>
          <w:b/>
          <w:color w:val="000000"/>
          <w:sz w:val="24"/>
        </w:rPr>
        <w:t xml:space="preserve">В  сфере решения задач в области гражданской обороны и защиты населения и территорий Богородского муниципального района Нижегородской области от чрезвычайных ситуаций</w:t>
      </w:r>
      <w:r>
        <w:rPr>
          <w:rFonts w:ascii="TimesNewRoman" w:hAnsi="TimesNewRoman" w:eastAsia="TimesNewRoman" w:cs="TimesNewRoman"/>
          <w:b/>
          <w:color w:val="000000"/>
          <w:sz w:val="24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708" w:left="0"/>
        <w:contextualSpacing w:val="fals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4.1. Участие в штабных тренировках (ШТ);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708" w:left="0"/>
        <w:contextualSpacing w:val="fals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4.2. Участие в закупке резервов материальных ресурсов в состав материальных резервов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ff"/>
          <w:spacing w:val="0"/>
          <w:position w:val="0"/>
          <w:sz w:val="24"/>
          <w:szCs w:val="24"/>
          <w:cs w:val="0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для ликвидации чрезвычайных ситуаций природного и техногенного характера, выполнение Плана на 98,4%.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0" w:left="0"/>
        <w:contextualSpacing w:val="false"/>
        <w:jc w:val="center"/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  <w:r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0" w:left="0"/>
        <w:contextualSpacing w:val="false"/>
        <w:jc w:val="center"/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V.В сфере транспортного обслуживания населения</w:t>
      </w:r>
      <w:r>
        <w:rPr>
          <w:rFonts w:ascii="TimesNewRoman" w:hAnsi="TimesNewRoman" w:eastAsia="TimesNewRoman" w:cs="TimesNew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/>
          <w:i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u w:val="non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00000"/>
          <w:spacing w:val="0"/>
          <w:position w:val="0"/>
          <w:sz w:val="24"/>
          <w:szCs w:val="24"/>
          <w:u w:val="none"/>
          <w:cs w:val="0"/>
        </w:rPr>
        <w:t xml:space="preserve">5.1.</w:t>
      </w: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d0d0d"/>
          <w:spacing w:val="0"/>
          <w:position w:val="0"/>
          <w:sz w:val="24"/>
          <w:szCs w:val="24"/>
          <w:u w:val="none"/>
          <w:cs w:val="0"/>
        </w:rPr>
        <w:t xml:space="preserve">Мониторинг сферы пассажирских перевозок:</w:t>
      </w: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strike w:val="0"/>
          <w:color w:val="000000"/>
          <w:spacing w:val="0"/>
          <w:position w:val="0"/>
          <w:sz w:val="24"/>
          <w:szCs w:val="24"/>
          <w:u w:val="non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 Согласно Реестра муниципальных маршрутов регулярных перевозок пассажиров и багажа автомобильным транспортом на территории Бог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ородского муниципального округа Нижегородской области и Реестра межмуниципальных маршрутов регулярных перевозок пассажиров и багажа автомобильным транспортом на территории Нижегородской области на территории Богородского муниципального округа установлено: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7 - городских маршрутов;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23 - пригородных (сельских) маршрутов;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19 - межмуниципальных маршрутов.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Указанные маршруты обслуживают 7 перевозчиков, из них 3 юр.лица и 4 предпринимателя.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8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5</w:t>
      </w: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.2. Обеспеченность транспортными услугами населенных пунктов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 составляет 50 % (68 из 136 населенных пунктов имеет доступ к остановочным пунктам в пределах трех километров, в соответствии с установленными Росстатом нормативами).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5</w:t>
      </w:r>
      <w:r>
        <w:rPr>
          <w:rFonts w:ascii="TimesNewRoman" w:hAnsi="TimesNewRoman" w:eastAsia="TimesNewRoman" w:cs="TimesNewRoman"/>
          <w:b w:val="0"/>
          <w:bCs w:val="0"/>
          <w:i/>
          <w:iCs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.3. В 2025 году рассмотрено 21 обращение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  <w:cs w:val="0"/>
        </w:rPr>
        <w:t xml:space="preserve">, поступивших в администрацию, на работу общественного транспорта.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9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0" w:line="240" w:lineRule="auto"/>
        <w:ind w:firstLine="709" w:left="0"/>
        <w:contextualSpacing w:val="true"/>
        <w:jc w:val="both"/>
        <w:rPr>
          <w:rFonts w:ascii="TimesNewRoman" w:hAnsi="TimesNewRoman" w:eastAsia="TimesNewRoman" w:cs="TimesNew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highlight w:val="none"/>
          <w:cs w:val="0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i/>
          <w:iCs/>
          <w:sz w:val="24"/>
        </w:rPr>
        <w:t xml:space="preserve">5.4. Изменено (продлено)</w:t>
      </w:r>
      <w:r>
        <w:rPr>
          <w:rFonts w:ascii="TimesNewRoman" w:hAnsi="TimesNewRoman" w:eastAsia="TimesNewRoman" w:cs="TimesNewRoman"/>
          <w:b w:val="0"/>
          <w:sz w:val="24"/>
        </w:rPr>
        <w:t xml:space="preserve"> два авто</w:t>
      </w:r>
      <w:r>
        <w:rPr>
          <w:rFonts w:ascii="TimesNewRoman" w:hAnsi="TimesNewRoman" w:eastAsia="TimesNewRoman" w:cs="TimesNewRoman"/>
          <w:b w:val="0"/>
          <w:sz w:val="24"/>
        </w:rPr>
        <w:t xml:space="preserve">бусных маршрута: пригородный маршрут № 114 ««Автостанция г. Богородск – д. Подъяблонное»» продлен до д.Подъяблонное и межмуниципальный маршрут №208 «г. Нижний Новгород (автовокзал «Щербинки») – с. Каменки (Богородский окр) (ч-з д. Гремячки)» до д.Гремячки.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color w:val="000000"/>
          <w:spacing w:val="0"/>
          <w:position w:val="0"/>
          <w:sz w:val="24"/>
          <w:szCs w:val="24"/>
          <w:cs w:val="0"/>
        </w:rPr>
        <w:t xml:space="preserve">                                                                      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В 2025 г частные перевозчики внезапно прекратили обслуживание социально важных автобусных маршрутов №2, №6, № 9-т и №10-т в Богородском округе, создав угрозу транспортного коллапса для населения.</w:t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 w:val="0"/>
          <w:sz w:val="24"/>
        </w:rPr>
        <w:t xml:space="preserve">Отдел малого предпринимательства и потребительского рынка администрации Богородского округа оперативно скоординировал ситуацию. </w:t>
      </w:r>
      <w:r>
        <w:rPr>
          <w:rFonts w:ascii="TimesNewRoman" w:hAnsi="TimesNewRoman" w:eastAsia="TimesNewRoman" w:cs="TimesNewRoman"/>
          <w:b w:val="0"/>
          <w:sz w:val="24"/>
        </w:rPr>
        <w:tab/>
      </w:r>
      <w:r>
        <w:rPr>
          <w:rFonts w:ascii="TimesNewRoman" w:hAnsi="TimesNewRoman" w:eastAsia="TimesNewRoman" w:cs="TimesNewRoman"/>
          <w:b w:val="0"/>
          <w:sz w:val="24"/>
        </w:rPr>
        <w:t xml:space="preserve">Во взаимодействии с Министерством транспорта и автомобильных дорог Нижегородской области удалось организовать продолжение работы на этих маршрутах силами крупного и надежного перевозчика — АО «БПАП».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sz w:val="24"/>
        </w:rPr>
      </w:pPr>
      <w:r>
        <w:rPr>
          <w:rFonts w:ascii="TimesNewRoman" w:hAnsi="TimesNewRoman" w:eastAsia="TimesNewRoman" w:cs="TimesNewRoman"/>
          <w:b/>
          <w:sz w:val="24"/>
        </w:rPr>
        <w:t xml:space="preserve">В итоге:</w:t>
      </w:r>
      <w:r>
        <w:rPr>
          <w:rFonts w:ascii="TimesNewRoman" w:hAnsi="TimesNewRoman" w:eastAsia="TimesNewRoman" w:cs="TimesNewRoman"/>
          <w:b w:val="0"/>
          <w:sz w:val="24"/>
        </w:rPr>
        <w:t xml:space="preserve"> Ситуация, которая могл</w:t>
      </w:r>
      <w:r>
        <w:rPr>
          <w:rFonts w:ascii="TimesNewRoman" w:hAnsi="TimesNewRoman" w:eastAsia="TimesNewRoman" w:cs="TimesNewRoman"/>
          <w:b w:val="0"/>
          <w:sz w:val="24"/>
        </w:rPr>
        <w:t xml:space="preserve">а привести к социальному напряжению, была быстро взята под контроль и решена. Это показатель эффективной работы отдела в кризисной ситуации, его налаженного взаимодействия с вышестоящими структурами и реального достижения в защите интересов жителей округа.</w:t>
      </w:r>
      <w:r>
        <w:rPr>
          <w:rFonts w:ascii="TimesNewRoman" w:hAnsi="TimesNewRoman" w:eastAsia="TimesNewRoman" w:cs="TimesNewRoman"/>
          <w:b w:val="0"/>
          <w:sz w:val="24"/>
        </w:rPr>
      </w:r>
    </w:p>
    <w:p>
      <w:pPr>
        <w:pStyle w:val="825"/>
        <w:pBdr/>
        <w:spacing w:after="0" w:before="0" w:line="240" w:lineRule="auto"/>
        <w:ind w:firstLine="720"/>
        <w:jc w:val="both"/>
        <w:rPr>
          <w:rFonts w:ascii="TimesNewRoman" w:hAnsi="TimesNewRoman" w:eastAsia="TimesNewRoman" w:cs="TimesNewRoman"/>
          <w:b w:val="0"/>
          <w:sz w:val="24"/>
          <w:highlight w:val="white"/>
        </w:rPr>
      </w:pPr>
      <w:r>
        <w:rPr>
          <w:rFonts w:ascii="TimesNewRoman" w:hAnsi="TimesNewRoman" w:eastAsia="TimesNewRoman" w:cs="TimesNewRoman"/>
          <w:b w:val="0"/>
          <w:sz w:val="24"/>
          <w:highlight w:val="white"/>
        </w:rPr>
      </w:r>
      <w:r>
        <w:rPr>
          <w:rFonts w:ascii="TimesNewRoman" w:hAnsi="TimesNewRoman" w:eastAsia="TimesNewRoman" w:cs="TimesNewRoman"/>
          <w:b w:val="0"/>
          <w:sz w:val="24"/>
          <w:highlight w:val="white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708" w:left="0"/>
        <w:contextualSpacing w:val="false"/>
        <w:jc w:val="both"/>
        <w:rPr>
          <w:rFonts w:ascii="TimesNewRoman" w:hAnsi="TimesNewRoman" w:eastAsia="TimesNewRoman" w:cs="TimesNew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88"/>
        <w:keepNext w:val="false"/>
        <w:keepLines w:val="false"/>
        <w:pageBreakBefore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000000"/>
        <w:bidi w:val="false"/>
        <w:spacing w:after="0" w:before="100" w:line="240" w:lineRule="auto"/>
        <w:ind w:firstLine="708" w:left="0"/>
        <w:contextualSpacing w:val="false"/>
        <w:jc w:val="both"/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4"/>
          <w:szCs w:val="24"/>
          <w:cs w:val="0"/>
        </w:rPr>
      </w:r>
    </w:p>
    <w:p>
      <w:pPr>
        <w:pStyle w:val="825"/>
        <w:pBdr/>
        <w:spacing w:after="0" w:before="0" w:line="240" w:lineRule="auto"/>
        <w:ind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Начальник отдела </w:t>
        <w:tab/>
        <w:tab/>
        <w:tab/>
        <w:tab/>
        <w:tab/>
        <w:tab/>
        <w:tab/>
        <w:tab/>
        <w:tab/>
        <w:t xml:space="preserve">Е.В.Маркина</w:t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5840" w:orient="portrait" w:w="12240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25"/>
        <w:pBdr/>
        <w:spacing w:after="0" w:before="0" w:line="240" w:lineRule="auto"/>
        <w:ind/>
        <w:jc w:val="left"/>
        <w:rPr>
          <w:rFonts w:ascii="Arial" w:hAnsi="Arial" w:eastAsia="Arial" w:cs="Arial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Arial" w:hAnsi="Arial" w:eastAsia="Arial" w:cs="Arial"/>
          <w:sz w:val="24"/>
        </w:rPr>
      </w:r>
    </w:p>
  </w:endnote>
  <w:endnote w:type="continuationSeparator" w:id="0">
    <w:p>
      <w:pPr>
        <w:pStyle w:val="825"/>
        <w:pBdr/>
        <w:spacing w:after="0" w:before="0" w:line="240" w:lineRule="auto"/>
        <w:ind/>
        <w:jc w:val="left"/>
        <w:rPr>
          <w:rFonts w:ascii="Arial" w:hAnsi="Arial" w:eastAsia="Arial" w:cs="Arial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Arial" w:hAnsi="Arial" w:eastAsia="Arial" w:cs="Arial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Liberation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25"/>
        <w:pBdr/>
        <w:spacing w:after="0" w:before="0" w:line="240" w:lineRule="auto"/>
        <w:ind/>
        <w:jc w:val="left"/>
        <w:rPr>
          <w:rFonts w:ascii="Arial" w:hAnsi="Arial" w:eastAsia="Arial" w:cs="Arial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Arial" w:hAnsi="Arial" w:eastAsia="Arial" w:cs="Arial"/>
          <w:sz w:val="24"/>
        </w:rPr>
      </w:r>
    </w:p>
  </w:footnote>
  <w:footnote w:type="continuationSeparator" w:id="0">
    <w:p>
      <w:pPr>
        <w:pStyle w:val="825"/>
        <w:pBdr/>
        <w:spacing w:after="0" w:before="0" w:line="240" w:lineRule="auto"/>
        <w:ind/>
        <w:jc w:val="left"/>
        <w:rPr>
          <w:rFonts w:ascii="Arial" w:hAnsi="Arial" w:eastAsia="Arial" w:cs="Arial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Arial" w:hAnsi="Arial" w:eastAsia="Arial" w:cs="Arial"/>
          <w:sz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firstLine="0"/>
      </w:pPr>
      <w:rPr>
        <w:sz w:val="20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firstLine="0"/>
      </w:pPr>
      <w:rPr>
        <w:sz w:val="20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table" w:styleId="698" w:default="1">
    <w:name w:val="Normal Table"/>
    <w:semiHidden/>
    <w:unhideWhenUsed/>
    <w:pPr>
      <w:pBdr/>
      <w:spacing w:after="0" w:before="0" w:line="240" w:lineRule="auto"/>
      <w:ind/>
      <w:jc w:val="left"/>
    </w:pPr>
    <w:rPr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"/>
    <w:basedOn w:val="698"/>
    <w:pPr>
      <w:pBdr/>
      <w:spacing w:after="0" w:before="0" w:line="240" w:lineRule="auto"/>
      <w:ind/>
      <w:jc w:val="left"/>
    </w:pPr>
    <w:rPr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698"/>
    <w:pPr>
      <w:pBdr/>
      <w:spacing w:after="0" w:before="0" w:line="240" w:lineRule="auto"/>
      <w:ind/>
      <w:jc w:val="left"/>
    </w:pPr>
    <w:rPr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698"/>
    <w:pPr>
      <w:pBdr/>
      <w:spacing w:after="0" w:before="0" w:line="240" w:lineRule="auto"/>
      <w:ind/>
      <w:jc w:val="left"/>
    </w:pPr>
    <w:rPr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be5f2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3dddc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bf1dd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ad9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a9796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c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7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2cddd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ac091"/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698"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 w:default="1">
    <w:name w:val="Normal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paragraph" w:styleId="826">
    <w:name w:val="Heading 1"/>
    <w:basedOn w:val="825"/>
    <w:qFormat/>
    <w:pPr>
      <w:keepNext w:val="true"/>
      <w:keepLines w:val="true"/>
      <w:pBdr/>
      <w:spacing w:after="80" w:before="360" w:line="240" w:lineRule="auto"/>
      <w:ind/>
      <w:jc w:val="left"/>
      <w:outlineLvl w:val="0"/>
    </w:pPr>
    <w:rPr>
      <w:rFonts w:ascii="Arial" w:hAnsi="Arial" w:eastAsia="Arial" w:cs="Arial"/>
      <w:color w:val="0f4761"/>
      <w:sz w:val="40"/>
    </w:rPr>
  </w:style>
  <w:style w:type="paragraph" w:styleId="827">
    <w:name w:val="Heading 2"/>
    <w:basedOn w:val="825"/>
    <w:unhideWhenUsed/>
    <w:qFormat/>
    <w:pPr>
      <w:keepNext w:val="true"/>
      <w:keepLines w:val="true"/>
      <w:pBdr/>
      <w:spacing w:after="80" w:before="160" w:line="240" w:lineRule="auto"/>
      <w:ind/>
      <w:jc w:val="left"/>
      <w:outlineLvl w:val="1"/>
    </w:pPr>
    <w:rPr>
      <w:rFonts w:ascii="Arial" w:hAnsi="Arial" w:eastAsia="Arial" w:cs="Arial"/>
      <w:color w:val="0f4761"/>
      <w:sz w:val="32"/>
    </w:rPr>
  </w:style>
  <w:style w:type="paragraph" w:styleId="828">
    <w:name w:val="Heading 3"/>
    <w:basedOn w:val="825"/>
    <w:unhideWhenUsed/>
    <w:qFormat/>
    <w:pPr>
      <w:keepNext w:val="true"/>
      <w:keepLines w:val="true"/>
      <w:pBdr/>
      <w:spacing w:after="80" w:before="160" w:line="240" w:lineRule="auto"/>
      <w:ind/>
      <w:jc w:val="left"/>
      <w:outlineLvl w:val="2"/>
    </w:pPr>
    <w:rPr>
      <w:rFonts w:ascii="Arial" w:hAnsi="Arial" w:eastAsia="Arial" w:cs="Arial"/>
      <w:color w:val="0f4761"/>
      <w:sz w:val="28"/>
    </w:rPr>
  </w:style>
  <w:style w:type="paragraph" w:styleId="829">
    <w:name w:val="Heading 4"/>
    <w:basedOn w:val="825"/>
    <w:unhideWhenUsed/>
    <w:qFormat/>
    <w:pPr>
      <w:keepNext w:val="true"/>
      <w:keepLines w:val="true"/>
      <w:pBdr/>
      <w:spacing w:after="40" w:before="80" w:line="240" w:lineRule="auto"/>
      <w:ind/>
      <w:jc w:val="left"/>
      <w:outlineLvl w:val="3"/>
    </w:pPr>
    <w:rPr>
      <w:rFonts w:ascii="Arial" w:hAnsi="Arial" w:eastAsia="Arial" w:cs="Arial"/>
      <w:i/>
      <w:color w:val="0f4761"/>
      <w:sz w:val="24"/>
    </w:rPr>
  </w:style>
  <w:style w:type="paragraph" w:styleId="830">
    <w:name w:val="Heading 5"/>
    <w:basedOn w:val="825"/>
    <w:unhideWhenUsed/>
    <w:qFormat/>
    <w:pPr>
      <w:keepNext w:val="true"/>
      <w:keepLines w:val="true"/>
      <w:pBdr/>
      <w:spacing w:after="40" w:before="80" w:line="240" w:lineRule="auto"/>
      <w:ind/>
      <w:jc w:val="left"/>
      <w:outlineLvl w:val="4"/>
    </w:pPr>
    <w:rPr>
      <w:rFonts w:ascii="Arial" w:hAnsi="Arial" w:eastAsia="Arial" w:cs="Arial"/>
      <w:color w:val="0f4761"/>
      <w:sz w:val="24"/>
    </w:rPr>
  </w:style>
  <w:style w:type="paragraph" w:styleId="831">
    <w:name w:val="Heading 6"/>
    <w:basedOn w:val="825"/>
    <w:unhideWhenUsed/>
    <w:qFormat/>
    <w:pPr>
      <w:keepNext w:val="true"/>
      <w:keepLines w:val="true"/>
      <w:pBdr/>
      <w:spacing w:after="0" w:before="40" w:line="240" w:lineRule="auto"/>
      <w:ind/>
      <w:jc w:val="left"/>
      <w:outlineLvl w:val="5"/>
    </w:pPr>
    <w:rPr>
      <w:rFonts w:ascii="Arial" w:hAnsi="Arial" w:eastAsia="Arial" w:cs="Arial"/>
      <w:i/>
      <w:color w:val="595959"/>
      <w:sz w:val="24"/>
    </w:rPr>
  </w:style>
  <w:style w:type="paragraph" w:styleId="832">
    <w:name w:val="Heading 7"/>
    <w:basedOn w:val="825"/>
    <w:unhideWhenUsed/>
    <w:qFormat/>
    <w:pPr>
      <w:keepNext w:val="true"/>
      <w:keepLines w:val="true"/>
      <w:pBdr/>
      <w:spacing w:after="0" w:before="40" w:line="240" w:lineRule="auto"/>
      <w:ind/>
      <w:jc w:val="left"/>
      <w:outlineLvl w:val="6"/>
    </w:pPr>
    <w:rPr>
      <w:rFonts w:ascii="Arial" w:hAnsi="Arial" w:eastAsia="Arial" w:cs="Arial"/>
      <w:color w:val="595959"/>
      <w:sz w:val="24"/>
    </w:rPr>
  </w:style>
  <w:style w:type="paragraph" w:styleId="833">
    <w:name w:val="Heading 8"/>
    <w:basedOn w:val="825"/>
    <w:unhideWhenUsed/>
    <w:qFormat/>
    <w:pPr>
      <w:keepNext w:val="true"/>
      <w:keepLines w:val="true"/>
      <w:pBdr/>
      <w:spacing w:after="0" w:before="0" w:line="240" w:lineRule="auto"/>
      <w:ind/>
      <w:jc w:val="left"/>
      <w:outlineLvl w:val="7"/>
    </w:pPr>
    <w:rPr>
      <w:rFonts w:ascii="Arial" w:hAnsi="Arial" w:eastAsia="Arial" w:cs="Arial"/>
      <w:i/>
      <w:color w:val="272727"/>
      <w:sz w:val="24"/>
    </w:rPr>
  </w:style>
  <w:style w:type="paragraph" w:styleId="834">
    <w:name w:val="Heading 9"/>
    <w:basedOn w:val="825"/>
    <w:unhideWhenUsed/>
    <w:qFormat/>
    <w:pPr>
      <w:keepNext w:val="true"/>
      <w:keepLines w:val="true"/>
      <w:pBdr/>
      <w:spacing w:after="0" w:before="0" w:line="240" w:lineRule="auto"/>
      <w:ind/>
      <w:jc w:val="left"/>
      <w:outlineLvl w:val="8"/>
    </w:pPr>
    <w:rPr>
      <w:rFonts w:ascii="Arial" w:hAnsi="Arial" w:eastAsia="Arial" w:cs="Arial"/>
      <w:i/>
      <w:color w:val="272727"/>
      <w:sz w:val="24"/>
    </w:rPr>
  </w:style>
  <w:style w:type="character" w:styleId="835" w:default="1">
    <w:name w:val="Default Paragraph Font"/>
    <w:semiHidden/>
    <w:unhideWhenUsed/>
    <w:pPr>
      <w:pBdr/>
      <w:spacing/>
      <w:ind/>
    </w:pPr>
    <w:rPr>
      <w:rFonts w:ascii="Arial" w:hAnsi="Arial" w:eastAsia="Arial" w:cs="Arial"/>
      <w:sz w:val="24"/>
    </w:rPr>
  </w:style>
  <w:style w:type="character" w:styleId="836">
    <w:name w:val="Heading 1 Char"/>
    <w:basedOn w:val="835"/>
    <w:pPr>
      <w:pBdr/>
      <w:spacing/>
      <w:ind/>
    </w:pPr>
    <w:rPr>
      <w:rFonts w:ascii="Arial" w:hAnsi="Arial" w:eastAsia="Arial" w:cs="Arial"/>
      <w:color w:val="0f4761"/>
      <w:sz w:val="40"/>
    </w:rPr>
  </w:style>
  <w:style w:type="character" w:styleId="837">
    <w:name w:val="Heading 2 Char"/>
    <w:basedOn w:val="835"/>
    <w:pPr>
      <w:pBdr/>
      <w:spacing/>
      <w:ind/>
    </w:pPr>
    <w:rPr>
      <w:rFonts w:ascii="Arial" w:hAnsi="Arial" w:eastAsia="Arial" w:cs="Arial"/>
      <w:color w:val="0f4761"/>
      <w:sz w:val="32"/>
    </w:rPr>
  </w:style>
  <w:style w:type="character" w:styleId="838">
    <w:name w:val="Heading 3 Char"/>
    <w:basedOn w:val="835"/>
    <w:pPr>
      <w:pBdr/>
      <w:spacing/>
      <w:ind/>
    </w:pPr>
    <w:rPr>
      <w:rFonts w:ascii="Arial" w:hAnsi="Arial" w:eastAsia="Arial" w:cs="Arial"/>
      <w:color w:val="0f4761"/>
      <w:sz w:val="28"/>
    </w:rPr>
  </w:style>
  <w:style w:type="character" w:styleId="839">
    <w:name w:val="Heading 4 Char"/>
    <w:basedOn w:val="835"/>
    <w:pPr>
      <w:pBdr/>
      <w:spacing/>
      <w:ind/>
    </w:pPr>
    <w:rPr>
      <w:rFonts w:ascii="Arial" w:hAnsi="Arial" w:eastAsia="Arial" w:cs="Arial"/>
      <w:i/>
      <w:color w:val="0f4761"/>
      <w:sz w:val="24"/>
    </w:rPr>
  </w:style>
  <w:style w:type="character" w:styleId="840">
    <w:name w:val="Heading 5 Char"/>
    <w:basedOn w:val="835"/>
    <w:pPr>
      <w:pBdr/>
      <w:spacing/>
      <w:ind/>
    </w:pPr>
    <w:rPr>
      <w:rFonts w:ascii="Arial" w:hAnsi="Arial" w:eastAsia="Arial" w:cs="Arial"/>
      <w:color w:val="0f4761"/>
      <w:sz w:val="24"/>
    </w:rPr>
  </w:style>
  <w:style w:type="character" w:styleId="841">
    <w:name w:val="Heading 6 Char"/>
    <w:basedOn w:val="835"/>
    <w:pPr>
      <w:pBdr/>
      <w:spacing/>
      <w:ind/>
    </w:pPr>
    <w:rPr>
      <w:rFonts w:ascii="Arial" w:hAnsi="Arial" w:eastAsia="Arial" w:cs="Arial"/>
      <w:i/>
      <w:color w:val="595959"/>
      <w:sz w:val="24"/>
    </w:rPr>
  </w:style>
  <w:style w:type="character" w:styleId="842">
    <w:name w:val="Heading 7 Char"/>
    <w:basedOn w:val="835"/>
    <w:pPr>
      <w:pBdr/>
      <w:spacing/>
      <w:ind/>
    </w:pPr>
    <w:rPr>
      <w:rFonts w:ascii="Arial" w:hAnsi="Arial" w:eastAsia="Arial" w:cs="Arial"/>
      <w:color w:val="595959"/>
      <w:sz w:val="24"/>
    </w:rPr>
  </w:style>
  <w:style w:type="character" w:styleId="843">
    <w:name w:val="Heading 8 Char"/>
    <w:basedOn w:val="835"/>
    <w:pPr>
      <w:pBdr/>
      <w:spacing/>
      <w:ind/>
    </w:pPr>
    <w:rPr>
      <w:rFonts w:ascii="Arial" w:hAnsi="Arial" w:eastAsia="Arial" w:cs="Arial"/>
      <w:i/>
      <w:color w:val="272727"/>
      <w:sz w:val="24"/>
    </w:rPr>
  </w:style>
  <w:style w:type="character" w:styleId="844">
    <w:name w:val="Heading 9 Char"/>
    <w:basedOn w:val="835"/>
    <w:pPr>
      <w:pBdr/>
      <w:spacing/>
      <w:ind/>
    </w:pPr>
    <w:rPr>
      <w:rFonts w:ascii="Arial" w:hAnsi="Arial" w:eastAsia="Arial" w:cs="Arial"/>
      <w:i/>
      <w:color w:val="272727"/>
      <w:sz w:val="24"/>
    </w:rPr>
  </w:style>
  <w:style w:type="paragraph" w:styleId="845">
    <w:name w:val="Title"/>
    <w:basedOn w:val="825"/>
    <w:qFormat/>
    <w:pPr>
      <w:pBdr/>
      <w:spacing w:after="80" w:before="0" w:line="240" w:lineRule="auto"/>
      <w:ind/>
      <w:contextualSpacing w:val="true"/>
      <w:jc w:val="left"/>
    </w:pPr>
    <w:rPr>
      <w:rFonts w:ascii="Arial" w:hAnsi="Arial" w:eastAsia="Arial" w:cs="Arial"/>
      <w:spacing w:val="-10"/>
      <w:sz w:val="56"/>
    </w:rPr>
  </w:style>
  <w:style w:type="character" w:styleId="846">
    <w:name w:val="Title Char"/>
    <w:basedOn w:val="835"/>
    <w:pPr>
      <w:pBdr/>
      <w:spacing/>
      <w:ind/>
    </w:pPr>
    <w:rPr>
      <w:rFonts w:ascii="Arial" w:hAnsi="Arial" w:eastAsia="Arial" w:cs="Arial"/>
      <w:spacing w:val="-10"/>
      <w:sz w:val="56"/>
    </w:rPr>
  </w:style>
  <w:style w:type="paragraph" w:styleId="847">
    <w:name w:val="Subtitle"/>
    <w:basedOn w:val="825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color w:val="595959"/>
      <w:spacing w:val="15"/>
      <w:sz w:val="28"/>
    </w:rPr>
  </w:style>
  <w:style w:type="character" w:styleId="848">
    <w:name w:val="Subtitle Char"/>
    <w:basedOn w:val="835"/>
    <w:pPr>
      <w:pBdr/>
      <w:spacing/>
      <w:ind/>
    </w:pPr>
    <w:rPr>
      <w:rFonts w:ascii="Arial" w:hAnsi="Arial" w:eastAsia="Arial" w:cs="Arial"/>
      <w:color w:val="595959"/>
      <w:spacing w:val="15"/>
      <w:sz w:val="28"/>
    </w:rPr>
  </w:style>
  <w:style w:type="paragraph" w:styleId="849">
    <w:name w:val="Quote"/>
    <w:basedOn w:val="825"/>
    <w:qFormat/>
    <w:pPr>
      <w:pBdr/>
      <w:spacing w:after="0" w:before="160" w:line="240" w:lineRule="auto"/>
      <w:ind/>
      <w:jc w:val="center"/>
    </w:pPr>
    <w:rPr>
      <w:rFonts w:ascii="Arial" w:hAnsi="Arial" w:eastAsia="Arial" w:cs="Arial"/>
      <w:i/>
      <w:color w:val="404040"/>
      <w:sz w:val="24"/>
    </w:rPr>
  </w:style>
  <w:style w:type="character" w:styleId="850">
    <w:name w:val="Quote Char"/>
    <w:basedOn w:val="835"/>
    <w:pPr>
      <w:pBdr/>
      <w:spacing/>
      <w:ind/>
    </w:pPr>
    <w:rPr>
      <w:rFonts w:ascii="Arial" w:hAnsi="Arial" w:eastAsia="Arial" w:cs="Arial"/>
      <w:i/>
      <w:color w:val="404040"/>
      <w:sz w:val="24"/>
    </w:rPr>
  </w:style>
  <w:style w:type="paragraph" w:styleId="851">
    <w:name w:val="List Paragraph"/>
    <w:basedOn w:val="825"/>
    <w:qFormat/>
    <w:pPr>
      <w:pBdr/>
      <w:spacing w:after="0" w:before="0" w:line="240" w:lineRule="auto"/>
      <w:ind w:left="720"/>
      <w:contextualSpacing w:val="true"/>
      <w:jc w:val="left"/>
    </w:pPr>
    <w:rPr>
      <w:rFonts w:ascii="Arial" w:hAnsi="Arial" w:eastAsia="Arial" w:cs="Arial"/>
      <w:sz w:val="24"/>
    </w:rPr>
  </w:style>
  <w:style w:type="character" w:styleId="852">
    <w:name w:val="Intense Emphasis"/>
    <w:basedOn w:val="835"/>
    <w:qFormat/>
    <w:pPr>
      <w:pBdr/>
      <w:spacing/>
      <w:ind/>
    </w:pPr>
    <w:rPr>
      <w:rFonts w:ascii="Arial" w:hAnsi="Arial" w:eastAsia="Arial" w:cs="Arial"/>
      <w:i/>
      <w:color w:val="0f4761"/>
      <w:sz w:val="24"/>
    </w:rPr>
  </w:style>
  <w:style w:type="paragraph" w:styleId="853">
    <w:name w:val="Intense Quote"/>
    <w:basedOn w:val="825"/>
    <w:qFormat/>
    <w:pPr>
      <w:pBdr>
        <w:top w:val="single" w:color="0f4761" w:sz="4" w:space="10"/>
        <w:bottom w:val="single" w:color="0f4761" w:sz="4" w:space="10"/>
      </w:pBdr>
      <w:spacing w:after="360" w:before="360" w:line="240" w:lineRule="auto"/>
      <w:ind w:left="864"/>
      <w:jc w:val="center"/>
    </w:pPr>
    <w:rPr>
      <w:rFonts w:ascii="Arial" w:hAnsi="Arial" w:eastAsia="Arial" w:cs="Arial"/>
      <w:i/>
      <w:color w:val="0f4761"/>
      <w:sz w:val="24"/>
    </w:rPr>
  </w:style>
  <w:style w:type="character" w:styleId="854">
    <w:name w:val="Intense Quote Char"/>
    <w:basedOn w:val="835"/>
    <w:pPr>
      <w:pBdr/>
      <w:spacing/>
      <w:ind/>
    </w:pPr>
    <w:rPr>
      <w:rFonts w:ascii="Arial" w:hAnsi="Arial" w:eastAsia="Arial" w:cs="Arial"/>
      <w:i/>
      <w:color w:val="0f4761"/>
      <w:sz w:val="24"/>
    </w:rPr>
  </w:style>
  <w:style w:type="character" w:styleId="855">
    <w:name w:val="Intense Reference"/>
    <w:basedOn w:val="835"/>
    <w:qFormat/>
    <w:pPr>
      <w:pBdr/>
      <w:spacing/>
      <w:ind/>
    </w:pPr>
    <w:rPr>
      <w:rFonts w:ascii="Arial" w:hAnsi="Arial" w:eastAsia="Arial" w:cs="Arial"/>
      <w:b/>
      <w:smallCaps/>
      <w:color w:val="0f4761"/>
      <w:spacing w:val="5"/>
      <w:sz w:val="24"/>
    </w:rPr>
  </w:style>
  <w:style w:type="paragraph" w:styleId="856">
    <w:name w:val="No Spacing"/>
    <w:basedOn w:val="825"/>
    <w:qFormat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character" w:styleId="857">
    <w:name w:val="Subtle Emphasis"/>
    <w:basedOn w:val="835"/>
    <w:qFormat/>
    <w:pPr>
      <w:pBdr/>
      <w:spacing/>
      <w:ind/>
    </w:pPr>
    <w:rPr>
      <w:rFonts w:ascii="Arial" w:hAnsi="Arial" w:eastAsia="Arial" w:cs="Arial"/>
      <w:i/>
      <w:color w:val="404040"/>
      <w:sz w:val="24"/>
    </w:rPr>
  </w:style>
  <w:style w:type="character" w:styleId="858">
    <w:name w:val="Emphasis"/>
    <w:basedOn w:val="835"/>
    <w:qFormat/>
    <w:pPr>
      <w:pBdr/>
      <w:spacing/>
      <w:ind/>
    </w:pPr>
    <w:rPr>
      <w:rFonts w:ascii="Arial" w:hAnsi="Arial" w:eastAsia="Arial" w:cs="Arial"/>
      <w:i/>
      <w:sz w:val="24"/>
    </w:rPr>
  </w:style>
  <w:style w:type="character" w:styleId="859">
    <w:name w:val="Strong"/>
    <w:basedOn w:val="835"/>
    <w:qFormat/>
    <w:pPr>
      <w:pBdr/>
      <w:spacing/>
      <w:ind/>
    </w:pPr>
    <w:rPr>
      <w:rFonts w:ascii="Arial" w:hAnsi="Arial" w:eastAsia="Arial" w:cs="Arial"/>
      <w:b/>
      <w:sz w:val="24"/>
    </w:rPr>
  </w:style>
  <w:style w:type="character" w:styleId="860">
    <w:name w:val="Subtle Reference"/>
    <w:basedOn w:val="835"/>
    <w:qFormat/>
    <w:pPr>
      <w:pBdr/>
      <w:spacing/>
      <w:ind/>
    </w:pPr>
    <w:rPr>
      <w:rFonts w:ascii="Arial" w:hAnsi="Arial" w:eastAsia="Arial" w:cs="Arial"/>
      <w:smallCaps/>
      <w:color w:val="5a5a5a"/>
      <w:sz w:val="24"/>
    </w:rPr>
  </w:style>
  <w:style w:type="character" w:styleId="861">
    <w:name w:val="Book Title"/>
    <w:basedOn w:val="835"/>
    <w:qFormat/>
    <w:pPr>
      <w:pBdr/>
      <w:spacing/>
      <w:ind/>
    </w:pPr>
    <w:rPr>
      <w:rFonts w:ascii="Arial" w:hAnsi="Arial" w:eastAsia="Arial" w:cs="Arial"/>
      <w:b/>
      <w:i/>
      <w:spacing w:val="5"/>
      <w:sz w:val="24"/>
    </w:rPr>
  </w:style>
  <w:style w:type="paragraph" w:styleId="862">
    <w:name w:val="Header"/>
    <w:basedOn w:val="825"/>
    <w:unhideWhenUsed/>
    <w:pPr>
      <w:pBdr/>
      <w:tabs>
        <w:tab w:val="center" w:leader="none" w:pos="4844"/>
        <w:tab w:val="right" w:leader="none" w:pos="9689"/>
      </w:tabs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character" w:styleId="863">
    <w:name w:val="Header Char"/>
    <w:basedOn w:val="835"/>
    <w:pPr>
      <w:pBdr/>
      <w:spacing/>
      <w:ind/>
    </w:pPr>
    <w:rPr>
      <w:rFonts w:ascii="Arial" w:hAnsi="Arial" w:eastAsia="Arial" w:cs="Arial"/>
      <w:sz w:val="24"/>
    </w:rPr>
  </w:style>
  <w:style w:type="paragraph" w:styleId="864">
    <w:name w:val="Footer"/>
    <w:basedOn w:val="825"/>
    <w:unhideWhenUsed/>
    <w:pPr>
      <w:pBdr/>
      <w:tabs>
        <w:tab w:val="center" w:leader="none" w:pos="4844"/>
        <w:tab w:val="right" w:leader="none" w:pos="9689"/>
      </w:tabs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character" w:styleId="865">
    <w:name w:val="Footer Char"/>
    <w:basedOn w:val="835"/>
    <w:pPr>
      <w:pBdr/>
      <w:spacing/>
      <w:ind/>
    </w:pPr>
    <w:rPr>
      <w:rFonts w:ascii="Arial" w:hAnsi="Arial" w:eastAsia="Arial" w:cs="Arial"/>
      <w:sz w:val="24"/>
    </w:rPr>
  </w:style>
  <w:style w:type="paragraph" w:styleId="866">
    <w:name w:val="Caption"/>
    <w:basedOn w:val="825"/>
    <w:unhideWhenUsed/>
    <w:qFormat/>
    <w:pPr>
      <w:pBdr/>
      <w:spacing w:after="200" w:before="0" w:line="240" w:lineRule="auto"/>
      <w:ind/>
      <w:jc w:val="left"/>
    </w:pPr>
    <w:rPr>
      <w:rFonts w:ascii="Arial" w:hAnsi="Arial" w:eastAsia="Arial" w:cs="Arial"/>
      <w:i/>
      <w:color w:val="0e2841"/>
      <w:sz w:val="18"/>
    </w:rPr>
  </w:style>
  <w:style w:type="paragraph" w:styleId="867">
    <w:name w:val="footnote text"/>
    <w:basedOn w:val="825"/>
    <w:semiHidden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0"/>
    </w:rPr>
  </w:style>
  <w:style w:type="character" w:styleId="868">
    <w:name w:val="Footnote Text Char"/>
    <w:basedOn w:val="835"/>
    <w:semiHidden/>
    <w:pPr>
      <w:pBdr/>
      <w:spacing/>
      <w:ind/>
    </w:pPr>
    <w:rPr>
      <w:rFonts w:ascii="Arial" w:hAnsi="Arial" w:eastAsia="Arial" w:cs="Arial"/>
      <w:sz w:val="20"/>
    </w:rPr>
  </w:style>
  <w:style w:type="character" w:styleId="869">
    <w:name w:val="footnote reference"/>
    <w:basedOn w:val="835"/>
    <w:semiHidden/>
    <w:unhideWhenUsed/>
    <w:pPr>
      <w:pBdr/>
      <w:spacing/>
      <w:ind/>
    </w:pPr>
    <w:rPr>
      <w:rFonts w:ascii="Arial" w:hAnsi="Arial" w:eastAsia="Arial" w:cs="Arial"/>
      <w:sz w:val="24"/>
      <w:vertAlign w:val="superscript"/>
    </w:rPr>
  </w:style>
  <w:style w:type="paragraph" w:styleId="870">
    <w:name w:val="endnote text"/>
    <w:basedOn w:val="825"/>
    <w:semiHidden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0"/>
    </w:rPr>
  </w:style>
  <w:style w:type="character" w:styleId="871">
    <w:name w:val="Endnote Text Char"/>
    <w:basedOn w:val="835"/>
    <w:semiHidden/>
    <w:pPr>
      <w:pBdr/>
      <w:spacing/>
      <w:ind/>
    </w:pPr>
    <w:rPr>
      <w:rFonts w:ascii="Arial" w:hAnsi="Arial" w:eastAsia="Arial" w:cs="Arial"/>
      <w:sz w:val="20"/>
    </w:rPr>
  </w:style>
  <w:style w:type="character" w:styleId="872">
    <w:name w:val="endnote reference"/>
    <w:basedOn w:val="835"/>
    <w:semiHidden/>
    <w:unhideWhenUsed/>
    <w:pPr>
      <w:pBdr/>
      <w:spacing/>
      <w:ind/>
    </w:pPr>
    <w:rPr>
      <w:rFonts w:ascii="Arial" w:hAnsi="Arial" w:eastAsia="Arial" w:cs="Arial"/>
      <w:sz w:val="24"/>
      <w:vertAlign w:val="superscript"/>
    </w:rPr>
  </w:style>
  <w:style w:type="character" w:styleId="873">
    <w:name w:val="Hyperlink"/>
    <w:basedOn w:val="835"/>
    <w:unhideWhenUsed/>
    <w:pPr>
      <w:pBdr/>
      <w:spacing/>
      <w:ind/>
    </w:pPr>
    <w:rPr>
      <w:rFonts w:ascii="Arial" w:hAnsi="Arial" w:eastAsia="Arial" w:cs="Arial"/>
      <w:color w:val="0563c1"/>
      <w:sz w:val="24"/>
      <w:u w:val="single"/>
    </w:rPr>
  </w:style>
  <w:style w:type="character" w:styleId="874">
    <w:name w:val="FollowedHyperlink"/>
    <w:basedOn w:val="835"/>
    <w:semiHidden/>
    <w:unhideWhenUsed/>
    <w:pPr>
      <w:pBdr/>
      <w:spacing/>
      <w:ind/>
    </w:pPr>
    <w:rPr>
      <w:rFonts w:ascii="Arial" w:hAnsi="Arial" w:eastAsia="Arial" w:cs="Arial"/>
      <w:color w:val="954f72"/>
      <w:sz w:val="24"/>
      <w:u w:val="single"/>
    </w:rPr>
  </w:style>
  <w:style w:type="paragraph" w:styleId="875">
    <w:name w:val="toc 1"/>
    <w:basedOn w:val="825"/>
    <w:unhideWhenUsed/>
    <w:pPr>
      <w:pBdr/>
      <w:spacing w:after="100" w:before="0" w:line="240" w:lineRule="auto"/>
      <w:ind/>
      <w:jc w:val="left"/>
    </w:pPr>
    <w:rPr>
      <w:rFonts w:ascii="Arial" w:hAnsi="Arial" w:eastAsia="Arial" w:cs="Arial"/>
      <w:sz w:val="24"/>
    </w:rPr>
  </w:style>
  <w:style w:type="paragraph" w:styleId="876">
    <w:name w:val="toc 2"/>
    <w:basedOn w:val="825"/>
    <w:unhideWhenUsed/>
    <w:pPr>
      <w:pBdr/>
      <w:spacing w:after="100" w:before="0" w:line="240" w:lineRule="auto"/>
      <w:ind w:left="220"/>
      <w:jc w:val="left"/>
    </w:pPr>
    <w:rPr>
      <w:rFonts w:ascii="Arial" w:hAnsi="Arial" w:eastAsia="Arial" w:cs="Arial"/>
      <w:sz w:val="24"/>
    </w:rPr>
  </w:style>
  <w:style w:type="paragraph" w:styleId="877">
    <w:name w:val="toc 3"/>
    <w:basedOn w:val="825"/>
    <w:unhideWhenUsed/>
    <w:pPr>
      <w:pBdr/>
      <w:spacing w:after="100" w:before="0" w:line="240" w:lineRule="auto"/>
      <w:ind w:left="440"/>
      <w:jc w:val="left"/>
    </w:pPr>
    <w:rPr>
      <w:rFonts w:ascii="Arial" w:hAnsi="Arial" w:eastAsia="Arial" w:cs="Arial"/>
      <w:sz w:val="24"/>
    </w:rPr>
  </w:style>
  <w:style w:type="paragraph" w:styleId="878">
    <w:name w:val="toc 4"/>
    <w:basedOn w:val="825"/>
    <w:unhideWhenUsed/>
    <w:pPr>
      <w:pBdr/>
      <w:spacing w:after="100" w:before="0" w:line="240" w:lineRule="auto"/>
      <w:ind w:left="660"/>
      <w:jc w:val="left"/>
    </w:pPr>
    <w:rPr>
      <w:rFonts w:ascii="Arial" w:hAnsi="Arial" w:eastAsia="Arial" w:cs="Arial"/>
      <w:sz w:val="24"/>
    </w:rPr>
  </w:style>
  <w:style w:type="paragraph" w:styleId="879">
    <w:name w:val="toc 5"/>
    <w:basedOn w:val="825"/>
    <w:unhideWhenUsed/>
    <w:pPr>
      <w:pBdr/>
      <w:spacing w:after="100" w:before="0" w:line="240" w:lineRule="auto"/>
      <w:ind w:left="880"/>
      <w:jc w:val="left"/>
    </w:pPr>
    <w:rPr>
      <w:rFonts w:ascii="Arial" w:hAnsi="Arial" w:eastAsia="Arial" w:cs="Arial"/>
      <w:sz w:val="24"/>
    </w:rPr>
  </w:style>
  <w:style w:type="paragraph" w:styleId="880">
    <w:name w:val="toc 6"/>
    <w:basedOn w:val="825"/>
    <w:unhideWhenUsed/>
    <w:pPr>
      <w:pBdr/>
      <w:spacing w:after="100" w:before="0" w:line="240" w:lineRule="auto"/>
      <w:ind w:left="1100"/>
      <w:jc w:val="left"/>
    </w:pPr>
    <w:rPr>
      <w:rFonts w:ascii="Arial" w:hAnsi="Arial" w:eastAsia="Arial" w:cs="Arial"/>
      <w:sz w:val="24"/>
    </w:rPr>
  </w:style>
  <w:style w:type="paragraph" w:styleId="881">
    <w:name w:val="toc 7"/>
    <w:basedOn w:val="825"/>
    <w:unhideWhenUsed/>
    <w:pPr>
      <w:pBdr/>
      <w:spacing w:after="100" w:before="0" w:line="240" w:lineRule="auto"/>
      <w:ind w:left="1320"/>
      <w:jc w:val="left"/>
    </w:pPr>
    <w:rPr>
      <w:rFonts w:ascii="Arial" w:hAnsi="Arial" w:eastAsia="Arial" w:cs="Arial"/>
      <w:sz w:val="24"/>
    </w:rPr>
  </w:style>
  <w:style w:type="paragraph" w:styleId="882">
    <w:name w:val="toc 8"/>
    <w:basedOn w:val="825"/>
    <w:unhideWhenUsed/>
    <w:pPr>
      <w:pBdr/>
      <w:spacing w:after="100" w:before="0" w:line="240" w:lineRule="auto"/>
      <w:ind w:left="1540"/>
      <w:jc w:val="left"/>
    </w:pPr>
    <w:rPr>
      <w:rFonts w:ascii="Arial" w:hAnsi="Arial" w:eastAsia="Arial" w:cs="Arial"/>
      <w:sz w:val="24"/>
    </w:rPr>
  </w:style>
  <w:style w:type="paragraph" w:styleId="883">
    <w:name w:val="toc 9"/>
    <w:basedOn w:val="825"/>
    <w:unhideWhenUsed/>
    <w:pPr>
      <w:pBdr/>
      <w:spacing w:after="100" w:before="0" w:line="240" w:lineRule="auto"/>
      <w:ind w:left="1760"/>
      <w:jc w:val="left"/>
    </w:pPr>
    <w:rPr>
      <w:rFonts w:ascii="Arial" w:hAnsi="Arial" w:eastAsia="Arial" w:cs="Arial"/>
      <w:sz w:val="24"/>
    </w:rPr>
  </w:style>
  <w:style w:type="paragraph" w:styleId="884">
    <w:name w:val="TOC Heading"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paragraph" w:styleId="885">
    <w:name w:val="table of figures"/>
    <w:basedOn w:val="825"/>
    <w:unhideWhenUsed/>
    <w:pPr>
      <w:pBdr/>
      <w:spacing w:after="0" w:before="0" w:line="240" w:lineRule="auto"/>
      <w:ind/>
      <w:jc w:val="left"/>
    </w:pPr>
    <w:rPr>
      <w:rFonts w:ascii="Arial" w:hAnsi="Arial" w:eastAsia="Arial" w:cs="Arial"/>
      <w:sz w:val="24"/>
    </w:rPr>
  </w:style>
  <w:style w:type="character" w:styleId="886">
    <w:name w:val="Основной шрифт абзаца11"/>
    <w:pPr>
      <w:pBdr/>
      <w:spacing/>
      <w:ind/>
    </w:pPr>
    <w:rPr>
      <w:rFonts w:ascii="Arial" w:hAnsi="Arial" w:eastAsia="Arial" w:cs="Arial"/>
      <w:sz w:val="24"/>
    </w:rPr>
  </w:style>
  <w:style w:type="paragraph" w:styleId="887">
    <w:name w:val="Standard"/>
    <w:pPr>
      <w:keepNext w:val="false"/>
      <w:keepLines w:val="false"/>
      <w:pageBreakBefore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hd w:val="clear" w:color="000000"/>
      <w:bidi w:val="false"/>
      <w:spacing w:after="0" w:before="0" w:line="240" w:lineRule="auto"/>
      <w:ind w:firstLine="0" w:left="0"/>
      <w:contextualSpacing w:val="false"/>
      <w:jc w:val="left"/>
    </w:pPr>
    <w:rPr>
      <w:rFonts w:ascii="LiberationSerif" w:hAnsi="LiberationSerif" w:eastAsia="LiberationSerif" w:cs="LiberationSerif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cs w:val="0"/>
    </w:rPr>
  </w:style>
  <w:style w:type="paragraph" w:styleId="888">
    <w:name w:val="Обычный (веб)12"/>
    <w:pPr>
      <w:keepNext w:val="false"/>
      <w:keepLines w:val="false"/>
      <w:pageBreakBefore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hd w:val="clear" w:color="000000"/>
      <w:bidi w:val="false"/>
      <w:spacing w:after="0" w:before="100" w:line="288" w:lineRule="auto"/>
      <w:ind w:firstLine="0" w:left="0"/>
      <w:contextualSpacing w:val="false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cs w:val="0"/>
    </w:rPr>
  </w:style>
  <w:style w:type="paragraph" w:styleId="889">
    <w:name w:val="Основной текст"/>
    <w:pPr>
      <w:keepNext w:val="false"/>
      <w:keepLines w:val="false"/>
      <w:pageBreakBefore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hd w:val="clear" w:color="000000"/>
      <w:bidi w:val="false"/>
      <w:spacing w:after="140" w:before="0" w:line="288" w:lineRule="auto"/>
      <w:ind w:firstLine="0" w:left="0"/>
      <w:contextualSpacing w:val="false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cs w:val="0"/>
    </w:rPr>
  </w:style>
  <w:style w:type="character" w:styleId="890">
    <w:name w:val="Строгий"/>
    <w:pPr>
      <w:pBdr/>
      <w:spacing/>
      <w:ind/>
    </w:pPr>
    <w:rPr>
      <w:rFonts w:ascii="TimesNewRoman" w:hAnsi="TimesNewRoman" w:eastAsia="TimesNewRoman" w:cs="TimesNewRoman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hart" Target="charts/chart1.xml" /><Relationship Id="rId10" Type="http://schemas.openxmlformats.org/officeDocument/2006/relationships/chart" Target="charts/chart2.xml" /><Relationship Id="rId11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1"/>
  <c:lang val="ru-RU"/>
  <c:roundedCorners val="0"/>
  <mc:AlternateContent>
    <mc:Choice Requires="c14">
      <c14:style val="102"/>
    </mc:Choice>
    <mc:Fallback>
      <c:style val="2"/>
    </mc:Fallback>
  </mc:AlternateContent>
  <c:chart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2023 год</c:v>
                </c:pt>
              </c:strCache>
            </c:strRef>
          </c:tx>
          <c:cat>
            <c:strRef>
              <c:f>Лист1!$A$8:$A$11</c:f>
              <c:strCache>
                <c:ptCount val="4"/>
                <c:pt idx="0">
                  <c:v>ИП</c:v>
                </c:pt>
                <c:pt idx="1">
                  <c:v>МП</c:v>
                </c:pt>
                <c:pt idx="2">
                  <c:v>СП</c:v>
                </c:pt>
                <c:pt idx="3">
                  <c:v>итого</c:v>
                </c:pt>
              </c:strCache>
            </c:strRef>
          </c:cat>
          <c:val>
            <c:numRef>
              <c:f>Лист1!$B$8:$B$11</c:f>
              <c:numCache>
                <c:formatCode>General</c:formatCode>
                <c:ptCount val="4"/>
                <c:pt idx="0">
                  <c:v>1549</c:v>
                </c:pt>
                <c:pt idx="1">
                  <c:v>623</c:v>
                </c:pt>
                <c:pt idx="2">
                  <c:v>10</c:v>
                </c:pt>
                <c:pt idx="3">
                  <c:v>2182</c:v>
                </c:pt>
              </c:numCache>
            </c:numRef>
          </c:val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2024 год 2</c:v>
                </c:pt>
              </c:strCache>
            </c:strRef>
          </c:tx>
          <c:cat>
            <c:strRef>
              <c:f>Лист1!$A$8:$A$11</c:f>
              <c:strCache>
                <c:ptCount val="4"/>
                <c:pt idx="0">
                  <c:v>ИП</c:v>
                </c:pt>
                <c:pt idx="1">
                  <c:v>МП</c:v>
                </c:pt>
                <c:pt idx="2">
                  <c:v>СП</c:v>
                </c:pt>
                <c:pt idx="3">
                  <c:v>итого</c:v>
                </c:pt>
              </c:strCache>
            </c:strRef>
          </c:cat>
          <c:val>
            <c:numRef>
              <c:f>Лист1!$C$8:$C$11</c:f>
              <c:numCache>
                <c:formatCode>General</c:formatCode>
                <c:ptCount val="4"/>
                <c:pt idx="0">
                  <c:v>1709</c:v>
                </c:pt>
                <c:pt idx="1">
                  <c:v>630</c:v>
                </c:pt>
                <c:pt idx="2">
                  <c:v>8</c:v>
                </c:pt>
                <c:pt idx="3">
                  <c:v>2347</c:v>
                </c:pt>
              </c:numCache>
            </c:numRef>
          </c:val>
        </c:ser>
        <c:ser>
          <c:idx val="2"/>
          <c:order val="2"/>
          <c:tx>
            <c:strRef>
              <c:f>Лист1!$D$7</c:f>
              <c:strCache>
                <c:ptCount val="1"/>
                <c:pt idx="0">
                  <c:v xml:space="preserve">2025 год </c:v>
                </c:pt>
              </c:strCache>
            </c:strRef>
          </c:tx>
          <c:cat>
            <c:strRef>
              <c:f>Лист1!$A$8:$A$11</c:f>
              <c:strCache>
                <c:ptCount val="4"/>
                <c:pt idx="0">
                  <c:v>ИП</c:v>
                </c:pt>
                <c:pt idx="1">
                  <c:v>МП</c:v>
                </c:pt>
                <c:pt idx="2">
                  <c:v>СП</c:v>
                </c:pt>
                <c:pt idx="3">
                  <c:v>итого</c:v>
                </c:pt>
              </c:strCache>
            </c:strRef>
          </c:cat>
          <c:val>
            <c:numRef>
              <c:f>Лист1!$D$8:$D$11</c:f>
              <c:numCache>
                <c:formatCode>General</c:formatCode>
                <c:ptCount val="4"/>
                <c:pt idx="0">
                  <c:v>1956</c:v>
                </c:pt>
                <c:pt idx="1">
                  <c:v>658</c:v>
                </c:pt>
                <c:pt idx="2">
                  <c:v>6</c:v>
                </c:pt>
                <c:pt idx="3">
                  <c:v>2620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866169487"/>
        <c:axId val="1866169488"/>
      </c:barChart>
      <c:catAx>
        <c:axId val="1866169487"/>
        <c:scaling>
          <c:orientation val="minMax"/>
        </c:scaling>
        <c:delete val="0"/>
        <c:axPos val="b"/>
        <c:majorTickMark val="out"/>
        <c:minorTickMark val="none"/>
        <c:tickLblPos val="nextTo"/>
        <c:crossAx val="1866169488"/>
        <c:crosses val="autoZero"/>
        <c:auto val="1"/>
        <c:lblAlgn val="ctr"/>
        <c:lblOffset val="100"/>
        <c:noMultiLvlLbl val="0"/>
      </c:catAx>
      <c:valAx>
        <c:axId val="1866169488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1866169487"/>
        <c:crosses val="autoZero"/>
        <c:crossBetween val="between"/>
      </c:valAx>
    </c:plotArea>
    <c:legend>
      <c:legendPos val="r"/>
      <c:layout/>
      <c:overlay val="0"/>
    </c:legend>
    <c:plotVisOnly val="1"/>
    <c:showDLblsOverMax val="0"/>
  </c:chart>
  <c:spPr bwMode="auto">
    <a:xfrm rot="0" flipH="0" flipV="0">
      <a:off x="0" y="0"/>
      <a:ext cx="4571995" cy="2600322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/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Gold</c:v>
                </c:pt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Сельское ,лесное хозяйство ,охота ,рыболовство и рыбоводство </c:v>
                </c:pt>
                <c:pt idx="1">
                  <c:v xml:space="preserve">Обрабатывающее производство </c:v>
                </c:pt>
                <c:pt idx="2">
                  <c:v xml:space="preserve">Строительство </c:v>
                </c:pt>
                <c:pt idx="3">
                  <c:v xml:space="preserve">Торговля оптовая и розничная; Ремонт автотранспортных средств и мотоциклов </c:v>
                </c:pt>
                <c:pt idx="4">
                  <c:v>Транспортировка и хранение</c:v>
                </c:pt>
                <c:pt idx="5">
                  <c:v xml:space="preserve">Деятельность гостиниц и предприятий общественного питания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10</c:v>
                </c:pt>
                <c:pt idx="2">
                  <c:v>9</c:v>
                </c:pt>
                <c:pt idx="3">
                  <c:v>33</c:v>
                </c:pt>
                <c:pt idx="4">
                  <c:v>13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Сельское ,лесное хозяйство ,охота ,рыболовство и рыбоводство </c:v>
                </c:pt>
                <c:pt idx="1">
                  <c:v xml:space="preserve">Обрабатывающее производство </c:v>
                </c:pt>
                <c:pt idx="2">
                  <c:v xml:space="preserve">Строительство </c:v>
                </c:pt>
                <c:pt idx="3">
                  <c:v xml:space="preserve">Торговля оптовая и розничная; Ремонт автотранспортных средств и мотоциклов </c:v>
                </c:pt>
                <c:pt idx="4">
                  <c:v>Транспортировка и хранение</c:v>
                </c:pt>
                <c:pt idx="5">
                  <c:v xml:space="preserve">Деятельность гостиниц и предприятий общественного питания 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5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dPt>
            <c:idx val="0"/>
            <c:spPr bwMode="auto">
              <a:prstGeom prst="rect">
                <a:avLst/>
              </a:prstGeom>
              <a:solidFill>
                <a:schemeClr val="accent1"/>
              </a:solidFill>
              <a:ln w="19050">
                <a:solidFill>
                  <a:schemeClr val="lt1"/>
                </a:solidFill>
              </a:ln>
            </c:spPr>
          </c:dPt>
          <c:dPt>
            <c:idx val="1"/>
            <c:spPr bwMode="auto">
              <a:prstGeom prst="rect">
                <a:avLst/>
              </a:prstGeom>
              <a:solidFill>
                <a:schemeClr val="accent2"/>
              </a:solidFill>
              <a:ln w="19050">
                <a:solidFill>
                  <a:schemeClr val="lt1"/>
                </a:solidFill>
              </a:ln>
            </c:spPr>
          </c:dPt>
          <c:dPt>
            <c:idx val="2"/>
            <c:spPr bwMode="auto">
              <a:prstGeom prst="rect">
                <a:avLst/>
              </a:prstGeom>
              <a:solidFill>
                <a:schemeClr val="accent3"/>
              </a:solidFill>
              <a:ln w="19050">
                <a:solidFill>
                  <a:schemeClr val="lt1"/>
                </a:solidFill>
              </a:ln>
            </c:spPr>
          </c:dPt>
          <c:dPt>
            <c:idx val="3"/>
            <c:spPr bwMode="auto">
              <a:prstGeom prst="rect">
                <a:avLst/>
              </a:prstGeom>
              <a:solidFill>
                <a:schemeClr val="accent4"/>
              </a:solidFill>
              <a:ln w="19050">
                <a:solidFill>
                  <a:schemeClr val="lt1"/>
                </a:solidFill>
              </a:ln>
            </c:spPr>
          </c:dPt>
          <c:dPt>
            <c:idx val="4"/>
            <c:spPr bwMode="auto">
              <a:prstGeom prst="rect">
                <a:avLst/>
              </a:prstGeom>
              <a:solidFill>
                <a:schemeClr val="accent5"/>
              </a:solidFill>
              <a:ln w="19050">
                <a:solidFill>
                  <a:schemeClr val="lt1"/>
                </a:solidFill>
              </a:ln>
            </c:spPr>
          </c:dPt>
          <c:dPt>
            <c:idx val="5"/>
            <c:spPr bwMode="auto">
              <a:prstGeom prst="rect">
                <a:avLst/>
              </a:prstGeom>
              <a:solidFill>
                <a:schemeClr val="accent6"/>
              </a:solidFill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1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0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Pr>
                <a:bodyPr/>
                <a:p>
                  <a:pPr>
                    <a:defRPr sz="9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/>
                </a:p>
              </c:txPr>
            </c:dLbl>
            <c:dLblPos val="ctr"/>
            <c:showBubbleSize val="0"/>
            <c:showCatName val="0"/>
            <c:showLeaderLines val="1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 xml:space="preserve">Сельское ,лесное хозяйство ,охота ,рыболовство и рыбоводство </c:v>
                </c:pt>
                <c:pt idx="1">
                  <c:v xml:space="preserve">Обрабатывающее производство </c:v>
                </c:pt>
                <c:pt idx="2">
                  <c:v xml:space="preserve">Строительство </c:v>
                </c:pt>
                <c:pt idx="3">
                  <c:v xml:space="preserve">Торговля оптовая и розничная; Ремонт автотранспортных средств и мотоциклов </c:v>
                </c:pt>
                <c:pt idx="4">
                  <c:v>Транспортировка и хранение</c:v>
                </c:pt>
                <c:pt idx="5">
                  <c:v xml:space="preserve">Деятельность гостиниц и предприятий общественного питания 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5">
                  <c:v>17</c:v>
                </c:pt>
              </c:numCache>
            </c:numRef>
          </c:val>
        </c:ser>
        <c:dLbls>
          <c:dLblPos val="ctr"/>
          <c:showBubbleSize val="0"/>
          <c:showCatName val="0"/>
          <c:showLeaderLines val="1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>
        <c:manualLayout>
          <c:x val="-0.001740"/>
          <c:y val="0.00297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 rot="0" flipH="0" flipV="0">
      <a:off x="0" y="0"/>
      <a:ext cx="5472000" cy="3204000"/>
    </a:xfrm>
  </c:spPr>
  <c:txPr>
    <a:bodyPr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/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</c:spPr>
          <c:invertIfNegative val="0"/>
          <c:dLbls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>Самозанятые</c:v>
                </c:pt>
                <c:pt idx="5">
                  <c:v>JPN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3743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</c:spPr>
          <c:invertIfNegative val="0"/>
          <c:dLbls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>Самозанятые</c:v>
                </c:pt>
                <c:pt idx="5">
                  <c:v>JPN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5041</c:v>
                </c:pt>
                <c:pt idx="5">
                  <c:v>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</c:spPr>
          <c:invertIfNegative val="0"/>
          <c:dLbls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0"/>
            <c:spPr bwMode="auto">
              <a:prstGeom prst="rect">
                <a:avLst/>
              </a:prstGeom>
              <a:noFill/>
              <a:ln>
                <a:noFill/>
              </a:ln>
            </c:spPr>
            <c:txPr>
              <a:bodyPr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/>
              </a:p>
            </c:txPr>
          </c:dLbls>
          <c:cat>
            <c:strRef>
              <c:f>Sheet1!$A$2:$A$7</c:f>
              <c:strCache>
                <c:ptCount val="6"/>
                <c:pt idx="0">
                  <c:v>Самозанятые</c:v>
                </c:pt>
                <c:pt idx="5">
                  <c:v>JPN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6666</c:v>
                </c:pt>
                <c:pt idx="5">
                  <c:v>17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0"/>
          <c:spPr bwMode="auto">
            <a:prstGeom prst="rect">
              <a:avLst/>
            </a:prstGeom>
            <a:noFill/>
            <a:ln>
              <a:noFill/>
            </a:ln>
          </c:spPr>
          <c:txPr>
            <a:bodyPr/>
            <a:p>
              <a:pPr>
                <a:defRPr sz="90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/>
            </a:p>
          </c:txPr>
        </c:dLbls>
        <c:gapWidth val="219"/>
        <c:overlap val="-25"/>
        <c:axId val="1866169489"/>
        <c:axId val="1866169490"/>
      </c:barChart>
      <c:catAx>
        <c:axId val="186616948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entury Gothic"/>
                <a:ea typeface="Arial"/>
                <a:cs typeface="Arial"/>
              </a:defRPr>
            </a:pPr>
            <a:endParaRPr/>
          </a:p>
        </c:txPr>
        <c:crossAx val="1866169490"/>
        <c:crosses val="autoZero"/>
        <c:auto val="1"/>
        <c:lblAlgn val="ctr"/>
        <c:lblOffset val="100"/>
        <c:noMultiLvlLbl val="0"/>
      </c:catAx>
      <c:valAx>
        <c:axId val="186616949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Century Gothic"/>
                <a:ea typeface="Arial"/>
                <a:cs typeface="Arial"/>
              </a:defRPr>
            </a:pPr>
            <a:endParaRPr/>
          </a:p>
        </c:txPr>
        <c:crossAx val="186616948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 rot="0" flipH="0" flipV="0">
      <a:off x="0" y="0"/>
      <a:ext cx="5612151" cy="3204000"/>
    </a:xfrm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2026-01-21T10:54:31Z</dcterms:modified>
</cp:coreProperties>
</file>